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D74E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eastAsiaTheme="minorEastAsia"/>
          <w:b/>
          <w:color w:val="auto"/>
          <w:sz w:val="36"/>
          <w:szCs w:val="36"/>
        </w:rPr>
      </w:pPr>
      <w:r>
        <w:rPr>
          <w:rFonts w:hint="eastAsia" w:eastAsiaTheme="minorEastAsia"/>
          <w:b/>
          <w:color w:val="auto"/>
          <w:sz w:val="36"/>
          <w:szCs w:val="36"/>
          <w:lang w:val="zh-CN"/>
        </w:rPr>
        <w:t>安庆汇辰科技有限公司年产200吨锂电池添加剂甘露醇碳酸硫酸酯纯化建设项目</w:t>
      </w:r>
      <w:r>
        <w:rPr>
          <w:rFonts w:eastAsiaTheme="minorEastAsia"/>
          <w:b/>
          <w:color w:val="auto"/>
          <w:sz w:val="36"/>
          <w:szCs w:val="36"/>
        </w:rPr>
        <w:t>竣工环境保护验收意见</w:t>
      </w:r>
    </w:p>
    <w:p w14:paraId="2CD132F6">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202</w:t>
      </w:r>
      <w:r>
        <w:rPr>
          <w:rFonts w:hint="eastAsia" w:ascii="Times New Roman" w:hAnsi="Times New Roman" w:eastAsia="宋体" w:cs="Times New Roman"/>
          <w:sz w:val="24"/>
          <w:szCs w:val="24"/>
          <w:highlight w:val="none"/>
          <w:lang w:val="en-US" w:eastAsia="zh-CN"/>
        </w:rPr>
        <w:t>5</w:t>
      </w:r>
      <w:r>
        <w:rPr>
          <w:rFonts w:hint="eastAsia" w:ascii="Times New Roman" w:hAnsi="Times New Roman" w:eastAsia="宋体" w:cs="Times New Roman"/>
          <w:sz w:val="24"/>
          <w:szCs w:val="24"/>
          <w:highlight w:val="none"/>
          <w:lang w:eastAsia="zh-CN"/>
        </w:rPr>
        <w:t>年</w:t>
      </w:r>
      <w:r>
        <w:rPr>
          <w:rFonts w:hint="eastAsia"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eastAsia="zh-CN"/>
        </w:rPr>
        <w:t>月</w:t>
      </w:r>
      <w:r>
        <w:rPr>
          <w:rFonts w:hint="eastAsia" w:ascii="Times New Roman" w:hAnsi="Times New Roman" w:eastAsia="宋体" w:cs="Times New Roman"/>
          <w:sz w:val="24"/>
          <w:szCs w:val="24"/>
          <w:highlight w:val="none"/>
          <w:lang w:val="en-US" w:eastAsia="zh-CN"/>
        </w:rPr>
        <w:t>28</w:t>
      </w:r>
      <w:r>
        <w:rPr>
          <w:rFonts w:hint="eastAsia" w:ascii="Times New Roman" w:hAnsi="Times New Roman" w:eastAsia="宋体" w:cs="Times New Roman"/>
          <w:sz w:val="24"/>
          <w:szCs w:val="24"/>
          <w:highlight w:val="none"/>
          <w:lang w:eastAsia="zh-CN"/>
        </w:rPr>
        <w:t>日，安庆汇辰科技有限公司在</w:t>
      </w:r>
      <w:r>
        <w:rPr>
          <w:rFonts w:hint="eastAsia" w:ascii="Times New Roman" w:hAnsi="Times New Roman" w:eastAsia="宋体" w:cs="Times New Roman"/>
          <w:sz w:val="24"/>
          <w:szCs w:val="24"/>
          <w:highlight w:val="none"/>
          <w:lang w:val="en-US" w:eastAsia="zh-CN"/>
        </w:rPr>
        <w:t>安庆市</w:t>
      </w:r>
      <w:r>
        <w:rPr>
          <w:rFonts w:hint="eastAsia" w:ascii="Times New Roman" w:hAnsi="Times New Roman" w:eastAsia="宋体" w:cs="Times New Roman"/>
          <w:sz w:val="24"/>
          <w:szCs w:val="24"/>
          <w:highlight w:val="none"/>
          <w:lang w:eastAsia="zh-CN"/>
        </w:rPr>
        <w:t>主持召开了安庆汇辰科技有限公司</w:t>
      </w:r>
      <w:r>
        <w:rPr>
          <w:rFonts w:hint="eastAsia" w:cs="Times New Roman"/>
          <w:sz w:val="24"/>
          <w:szCs w:val="24"/>
          <w:highlight w:val="none"/>
          <w:lang w:eastAsia="zh-CN"/>
        </w:rPr>
        <w:t>年产200吨锂电池添加剂甘露醇碳酸硫酸酯纯化建设项目</w:t>
      </w:r>
      <w:r>
        <w:rPr>
          <w:rFonts w:hint="eastAsia" w:ascii="Times New Roman" w:hAnsi="Times New Roman" w:eastAsia="宋体" w:cs="Times New Roman"/>
          <w:sz w:val="24"/>
          <w:szCs w:val="24"/>
          <w:highlight w:val="none"/>
          <w:lang w:eastAsia="zh-CN"/>
        </w:rPr>
        <w:t>竣工环境保护验收现场会，根据安庆汇辰科技有限公司</w:t>
      </w:r>
      <w:r>
        <w:rPr>
          <w:rFonts w:hint="eastAsia" w:cs="Times New Roman"/>
          <w:sz w:val="24"/>
          <w:szCs w:val="24"/>
          <w:highlight w:val="none"/>
          <w:lang w:eastAsia="zh-CN"/>
        </w:rPr>
        <w:t>年产200吨锂电池添加剂甘露醇碳酸硫酸酯纯化建设项目</w:t>
      </w:r>
      <w:r>
        <w:rPr>
          <w:rFonts w:hint="default" w:ascii="Times New Roman" w:hAnsi="Times New Roman" w:eastAsia="宋体" w:cs="Times New Roman"/>
          <w:sz w:val="24"/>
          <w:szCs w:val="24"/>
          <w:highlight w:val="none"/>
          <w:lang w:eastAsia="zh-CN"/>
        </w:rPr>
        <w:t>竣工环境保护</w:t>
      </w:r>
      <w:r>
        <w:rPr>
          <w:rFonts w:hint="eastAsia" w:ascii="Times New Roman" w:hAnsi="Times New Roman" w:eastAsia="宋体" w:cs="Times New Roman"/>
          <w:sz w:val="24"/>
          <w:szCs w:val="24"/>
          <w:highlight w:val="none"/>
          <w:lang w:eastAsia="zh-CN"/>
        </w:rPr>
        <w:t>验收监测报告（表）并对照《建设项目竣工环境保护验收暂行办法》，严格依照国家有关法律法规、建设项目竣工环境保护验收技术规范/指南、本项目环境影响评价报告表和审批部门审批决定等要求对本项目进行验收，提出意见如下：</w:t>
      </w:r>
    </w:p>
    <w:p w14:paraId="4D3D8D14">
      <w:pPr>
        <w:pStyle w:val="26"/>
        <w:spacing w:before="0" w:beforeAutospacing="0" w:after="0" w:afterAutospacing="0" w:line="360" w:lineRule="auto"/>
        <w:ind w:firstLine="562" w:firstLineChars="200"/>
        <w:outlineLvl w:val="0"/>
        <w:rPr>
          <w:b/>
          <w:color w:val="auto"/>
          <w:sz w:val="28"/>
          <w:szCs w:val="28"/>
        </w:rPr>
      </w:pPr>
      <w:r>
        <w:rPr>
          <w:rFonts w:hint="eastAsia"/>
          <w:b/>
          <w:color w:val="auto"/>
          <w:sz w:val="28"/>
          <w:szCs w:val="28"/>
        </w:rPr>
        <w:t>一、工程建设基本情况</w:t>
      </w:r>
    </w:p>
    <w:p w14:paraId="3628FA73">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（一）建设地点、规模、主要建设内容</w:t>
      </w:r>
    </w:p>
    <w:p w14:paraId="16541B86">
      <w:pPr>
        <w:pStyle w:val="6"/>
        <w:spacing w:before="0" w:line="360" w:lineRule="auto"/>
        <w:ind w:firstLine="48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eastAsia="zh-CN"/>
        </w:rPr>
        <w:t>安庆汇辰科技有限公司曾用名安庆汇辰药业有限公司，成立于2019年9月，位于</w:t>
      </w:r>
      <w:r>
        <w:rPr>
          <w:rFonts w:hint="default" w:ascii="Times New Roman" w:hAnsi="Times New Roman" w:eastAsia="宋体" w:cs="Times New Roman"/>
          <w:sz w:val="24"/>
          <w:szCs w:val="24"/>
          <w:highlight w:val="none"/>
          <w:lang w:eastAsia="zh-CN"/>
        </w:rPr>
        <w:t>安庆高新技术产业开发区丁香路99号</w:t>
      </w:r>
      <w:r>
        <w:rPr>
          <w:rFonts w:hint="eastAsia" w:ascii="Times New Roman" w:hAnsi="Times New Roman" w:eastAsia="宋体" w:cs="Times New Roman"/>
          <w:sz w:val="24"/>
          <w:szCs w:val="24"/>
          <w:highlight w:val="none"/>
          <w:lang w:eastAsia="zh-CN"/>
        </w:rPr>
        <w:t>，主要专用化学产品制造、电子专用材料制造</w:t>
      </w:r>
      <w:r>
        <w:rPr>
          <w:rFonts w:hint="eastAsia" w:ascii="Times New Roman" w:hAnsi="Times New Roman" w:eastAsia="宋体" w:cs="Times New Roman"/>
          <w:sz w:val="24"/>
          <w:szCs w:val="24"/>
          <w:highlight w:val="none"/>
          <w:lang w:val="en-US" w:eastAsia="zh-CN"/>
        </w:rPr>
        <w:t>。公司投资建设《</w:t>
      </w:r>
      <w:r>
        <w:rPr>
          <w:rFonts w:hint="eastAsia" w:cs="Times New Roman"/>
          <w:sz w:val="24"/>
          <w:szCs w:val="24"/>
          <w:highlight w:val="none"/>
          <w:lang w:val="en-US" w:eastAsia="zh-CN"/>
        </w:rPr>
        <w:t>年产200吨锂电池添加剂甘露醇碳酸硫酸酯纯化建设项目</w:t>
      </w:r>
      <w:r>
        <w:rPr>
          <w:rFonts w:hint="eastAsia" w:ascii="Times New Roman" w:hAnsi="Times New Roman" w:eastAsia="宋体" w:cs="Times New Roman"/>
          <w:sz w:val="24"/>
          <w:szCs w:val="24"/>
          <w:highlight w:val="none"/>
          <w:lang w:val="en-US" w:eastAsia="zh-CN"/>
        </w:rPr>
        <w:t>》，本项目</w:t>
      </w:r>
      <w:r>
        <w:rPr>
          <w:rFonts w:hint="eastAsia" w:ascii="Times New Roman" w:hAnsi="Times New Roman" w:cs="Times New Roman"/>
          <w:sz w:val="24"/>
          <w:szCs w:val="24"/>
          <w:lang w:eastAsia="zh-CN"/>
        </w:rPr>
        <w:t>年产</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lang w:eastAsia="zh-CN"/>
        </w:rPr>
        <w:t>00吨甘露醇碳酸硫酸酯</w:t>
      </w:r>
      <w:r>
        <w:rPr>
          <w:rFonts w:hint="eastAsia" w:ascii="Times New Roman" w:hAnsi="Times New Roman" w:eastAsia="宋体" w:cs="Times New Roman"/>
          <w:sz w:val="24"/>
          <w:szCs w:val="24"/>
          <w:highlight w:val="none"/>
          <w:lang w:val="en-US" w:eastAsia="zh-CN"/>
        </w:rPr>
        <w:t>。</w:t>
      </w:r>
    </w:p>
    <w:p w14:paraId="2CA612D4">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（二）建设过程及环保审批情况</w:t>
      </w:r>
    </w:p>
    <w:p w14:paraId="67199E17">
      <w:pPr>
        <w:spacing w:line="360" w:lineRule="auto"/>
        <w:ind w:firstLine="480" w:firstLineChars="200"/>
        <w:rPr>
          <w:rFonts w:hint="eastAsia" w:ascii="Times New Roman" w:hAnsi="Times New Roman" w:cs="Times New Roman"/>
          <w:sz w:val="24"/>
          <w:szCs w:val="24"/>
          <w:lang w:eastAsia="zh-CN"/>
        </w:rPr>
      </w:pPr>
      <w:r>
        <w:rPr>
          <w:rFonts w:hint="eastAsia" w:ascii="Times New Roman" w:hAnsi="Times New Roman" w:eastAsia="宋体" w:cs="Times New Roman"/>
          <w:sz w:val="24"/>
          <w:szCs w:val="24"/>
          <w:highlight w:val="none"/>
          <w:lang w:eastAsia="zh-CN"/>
        </w:rPr>
        <w:t>项目20</w:t>
      </w:r>
      <w:r>
        <w:rPr>
          <w:rFonts w:hint="eastAsia" w:ascii="Times New Roman" w:hAnsi="Times New Roman" w:eastAsia="宋体" w:cs="Times New Roman"/>
          <w:sz w:val="24"/>
          <w:szCs w:val="24"/>
          <w:highlight w:val="none"/>
          <w:lang w:val="en-US" w:eastAsia="zh-CN"/>
        </w:rPr>
        <w:t>2</w:t>
      </w:r>
      <w:r>
        <w:rPr>
          <w:rFonts w:hint="eastAsia" w:cs="Times New Roman"/>
          <w:sz w:val="24"/>
          <w:szCs w:val="24"/>
          <w:highlight w:val="none"/>
          <w:lang w:val="en-US" w:eastAsia="zh-CN"/>
        </w:rPr>
        <w:t>5</w:t>
      </w:r>
      <w:r>
        <w:rPr>
          <w:rFonts w:hint="eastAsia" w:ascii="Times New Roman" w:hAnsi="Times New Roman" w:eastAsia="宋体" w:cs="Times New Roman"/>
          <w:sz w:val="24"/>
          <w:szCs w:val="24"/>
          <w:highlight w:val="none"/>
          <w:lang w:eastAsia="zh-CN"/>
        </w:rPr>
        <w:t>年</w:t>
      </w:r>
      <w:r>
        <w:rPr>
          <w:rFonts w:hint="eastAsia" w:cs="Times New Roman"/>
          <w:sz w:val="24"/>
          <w:szCs w:val="24"/>
          <w:highlight w:val="none"/>
          <w:lang w:val="en-US" w:eastAsia="zh-CN"/>
        </w:rPr>
        <w:t>9</w:t>
      </w:r>
      <w:r>
        <w:rPr>
          <w:rFonts w:hint="eastAsia" w:ascii="Times New Roman" w:hAnsi="Times New Roman" w:eastAsia="宋体" w:cs="Times New Roman"/>
          <w:sz w:val="24"/>
          <w:szCs w:val="24"/>
          <w:highlight w:val="none"/>
          <w:lang w:eastAsia="zh-CN"/>
        </w:rPr>
        <w:t>月申办环评，</w:t>
      </w:r>
      <w:r>
        <w:rPr>
          <w:rFonts w:ascii="Times New Roman" w:hAnsi="Times New Roman" w:cs="Times New Roman"/>
          <w:sz w:val="24"/>
          <w:szCs w:val="24"/>
        </w:rPr>
        <w:t>并于202</w:t>
      </w:r>
      <w:r>
        <w:rPr>
          <w:rFonts w:hint="eastAsia" w:ascii="Times New Roman" w:hAnsi="Times New Roman" w:cs="Times New Roman"/>
          <w:sz w:val="24"/>
          <w:szCs w:val="24"/>
          <w:lang w:val="en-US" w:eastAsia="zh-CN"/>
        </w:rPr>
        <w:t>5</w:t>
      </w:r>
      <w:r>
        <w:rPr>
          <w:rFonts w:ascii="Times New Roman" w:hAnsi="Times New Roman" w:cs="Times New Roman"/>
          <w:sz w:val="24"/>
          <w:szCs w:val="24"/>
        </w:rPr>
        <w:t>年</w:t>
      </w:r>
      <w:r>
        <w:rPr>
          <w:rFonts w:hint="eastAsia" w:ascii="Times New Roman" w:hAnsi="Times New Roman" w:cs="Times New Roman"/>
          <w:sz w:val="24"/>
          <w:szCs w:val="24"/>
          <w:lang w:val="en-US" w:eastAsia="zh-CN"/>
        </w:rPr>
        <w:t>9</w:t>
      </w:r>
      <w:r>
        <w:rPr>
          <w:rFonts w:ascii="Times New Roman" w:hAnsi="Times New Roman" w:cs="Times New Roman"/>
          <w:sz w:val="24"/>
          <w:szCs w:val="24"/>
        </w:rPr>
        <w:t>月</w:t>
      </w:r>
      <w:r>
        <w:rPr>
          <w:rFonts w:hint="eastAsia" w:ascii="Times New Roman" w:hAnsi="Times New Roman" w:cs="Times New Roman"/>
          <w:sz w:val="24"/>
          <w:szCs w:val="24"/>
          <w:lang w:val="en-US" w:eastAsia="zh-CN"/>
        </w:rPr>
        <w:t>26</w:t>
      </w:r>
      <w:r>
        <w:rPr>
          <w:rFonts w:ascii="Times New Roman" w:hAnsi="Times New Roman" w:cs="Times New Roman"/>
          <w:sz w:val="24"/>
          <w:szCs w:val="24"/>
        </w:rPr>
        <w:t>日获得</w:t>
      </w:r>
      <w:r>
        <w:rPr>
          <w:rFonts w:hint="eastAsia" w:ascii="Times New Roman" w:hAnsi="Times New Roman" w:cs="Times New Roman"/>
          <w:sz w:val="24"/>
          <w:szCs w:val="24"/>
        </w:rPr>
        <w:t>安庆高新技术产业开发区环境保护局出具</w:t>
      </w:r>
      <w:r>
        <w:rPr>
          <w:rFonts w:ascii="Times New Roman" w:hAnsi="Times New Roman" w:cs="Times New Roman"/>
          <w:sz w:val="24"/>
          <w:szCs w:val="24"/>
        </w:rPr>
        <w:t>的《关于</w:t>
      </w:r>
      <w:r>
        <w:rPr>
          <w:rFonts w:hint="eastAsia" w:ascii="Times New Roman" w:hAnsi="Times New Roman" w:cs="Times New Roman"/>
          <w:sz w:val="24"/>
          <w:szCs w:val="24"/>
          <w:lang w:eastAsia="zh-CN"/>
        </w:rPr>
        <w:t>年产200吨锂电池添加剂甘露醇碳酸硫酸酯纯化建设项目</w:t>
      </w:r>
      <w:r>
        <w:rPr>
          <w:rFonts w:ascii="Times New Roman" w:hAnsi="Times New Roman" w:cs="Times New Roman"/>
          <w:sz w:val="24"/>
          <w:szCs w:val="24"/>
        </w:rPr>
        <w:t>环境影响评价报告</w:t>
      </w:r>
      <w:bookmarkStart w:id="1" w:name="_GoBack"/>
      <w:bookmarkEnd w:id="1"/>
      <w:r>
        <w:rPr>
          <w:rFonts w:ascii="Times New Roman" w:hAnsi="Times New Roman" w:cs="Times New Roman"/>
          <w:sz w:val="24"/>
          <w:szCs w:val="24"/>
        </w:rPr>
        <w:t>表</w:t>
      </w:r>
      <w:r>
        <w:rPr>
          <w:rFonts w:hint="eastAsia" w:ascii="Times New Roman" w:hAnsi="Times New Roman" w:cs="Times New Roman"/>
          <w:sz w:val="24"/>
          <w:szCs w:val="24"/>
        </w:rPr>
        <w:t>的</w:t>
      </w:r>
      <w:r>
        <w:rPr>
          <w:rFonts w:ascii="Times New Roman" w:hAnsi="Times New Roman" w:cs="Times New Roman"/>
          <w:sz w:val="24"/>
          <w:szCs w:val="24"/>
        </w:rPr>
        <w:t>批复》（</w:t>
      </w:r>
      <w:r>
        <w:rPr>
          <w:rFonts w:hint="eastAsia" w:ascii="Times New Roman" w:hAnsi="Times New Roman" w:cs="Times New Roman"/>
          <w:sz w:val="24"/>
          <w:szCs w:val="24"/>
        </w:rPr>
        <w:t>庆高新环建函[2025]1</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rPr>
        <w:t>号</w:t>
      </w:r>
      <w:r>
        <w:rPr>
          <w:rFonts w:ascii="Times New Roman" w:hAnsi="Times New Roman" w:cs="Times New Roman"/>
          <w:sz w:val="24"/>
          <w:szCs w:val="24"/>
        </w:rPr>
        <w:t>）</w:t>
      </w:r>
      <w:r>
        <w:rPr>
          <w:rFonts w:hint="eastAsia" w:ascii="Times New Roman" w:hAnsi="Times New Roman" w:cs="Times New Roman"/>
          <w:sz w:val="24"/>
          <w:szCs w:val="24"/>
          <w:lang w:eastAsia="zh-CN"/>
        </w:rPr>
        <w:t>。</w:t>
      </w:r>
    </w:p>
    <w:p w14:paraId="0C2C6273">
      <w:pPr>
        <w:spacing w:line="360" w:lineRule="auto"/>
        <w:ind w:firstLine="480" w:firstLineChars="200"/>
        <w:rPr>
          <w:rFonts w:ascii="Times New Roman" w:hAnsi="Times New Roman" w:cs="Times New Roman" w:eastAsiaTheme="minorEastAsia"/>
          <w:sz w:val="24"/>
          <w:szCs w:val="32"/>
        </w:rPr>
      </w:pPr>
      <w:r>
        <w:rPr>
          <w:rFonts w:ascii="Times New Roman" w:hAnsi="Times New Roman" w:cs="Times New Roman" w:eastAsiaTheme="minorEastAsia"/>
          <w:sz w:val="24"/>
          <w:szCs w:val="32"/>
        </w:rPr>
        <w:t>202</w:t>
      </w:r>
      <w:r>
        <w:rPr>
          <w:rFonts w:hint="eastAsia" w:ascii="Times New Roman" w:hAnsi="Times New Roman" w:cs="Times New Roman" w:eastAsiaTheme="minorEastAsia"/>
          <w:sz w:val="24"/>
          <w:szCs w:val="32"/>
          <w:lang w:val="en-US" w:eastAsia="zh-CN"/>
        </w:rPr>
        <w:t>5</w:t>
      </w:r>
      <w:r>
        <w:rPr>
          <w:rFonts w:ascii="Times New Roman" w:hAnsi="Times New Roman" w:cs="Times New Roman" w:eastAsiaTheme="minorEastAsia"/>
          <w:sz w:val="24"/>
          <w:szCs w:val="32"/>
        </w:rPr>
        <w:t>年</w:t>
      </w:r>
      <w:r>
        <w:rPr>
          <w:rFonts w:hint="eastAsia" w:ascii="Times New Roman" w:hAnsi="Times New Roman" w:cs="Times New Roman" w:eastAsiaTheme="minorEastAsia"/>
          <w:sz w:val="24"/>
          <w:szCs w:val="32"/>
          <w:lang w:val="en-US" w:eastAsia="zh-CN"/>
        </w:rPr>
        <w:t>9</w:t>
      </w:r>
      <w:r>
        <w:rPr>
          <w:rFonts w:ascii="Times New Roman" w:hAnsi="Times New Roman" w:cs="Times New Roman" w:eastAsiaTheme="minorEastAsia"/>
          <w:sz w:val="24"/>
          <w:szCs w:val="32"/>
        </w:rPr>
        <w:t>月</w:t>
      </w:r>
      <w:r>
        <w:rPr>
          <w:rFonts w:hint="eastAsia" w:ascii="Times New Roman" w:hAnsi="Times New Roman" w:cs="Times New Roman" w:eastAsiaTheme="minorEastAsia"/>
          <w:sz w:val="24"/>
          <w:szCs w:val="32"/>
          <w:lang w:eastAsia="zh-CN"/>
        </w:rPr>
        <w:t>安庆汇辰科技有限公司</w:t>
      </w:r>
      <w:r>
        <w:rPr>
          <w:rFonts w:ascii="Times New Roman" w:hAnsi="Times New Roman" w:cs="Times New Roman" w:eastAsiaTheme="minorEastAsia"/>
          <w:sz w:val="24"/>
          <w:szCs w:val="32"/>
        </w:rPr>
        <w:t>开始对</w:t>
      </w:r>
      <w:r>
        <w:rPr>
          <w:rFonts w:hint="eastAsia" w:ascii="Times New Roman" w:hAnsi="Times New Roman" w:cs="Times New Roman" w:eastAsiaTheme="minorEastAsia"/>
          <w:sz w:val="24"/>
          <w:szCs w:val="32"/>
          <w:lang w:eastAsia="zh-CN"/>
        </w:rPr>
        <w:t>年产200吨锂电池添加剂甘露醇碳酸硫酸酯纯化建设项目</w:t>
      </w:r>
      <w:r>
        <w:rPr>
          <w:rFonts w:ascii="Times New Roman" w:hAnsi="Times New Roman" w:cs="Times New Roman" w:eastAsiaTheme="minorEastAsia"/>
          <w:sz w:val="24"/>
          <w:szCs w:val="32"/>
        </w:rPr>
        <w:t>建设，工程于202</w:t>
      </w:r>
      <w:r>
        <w:rPr>
          <w:rFonts w:hint="eastAsia" w:ascii="Times New Roman" w:hAnsi="Times New Roman" w:cs="Times New Roman" w:eastAsiaTheme="minorEastAsia"/>
          <w:sz w:val="24"/>
          <w:szCs w:val="32"/>
          <w:lang w:val="en-US" w:eastAsia="zh-CN"/>
        </w:rPr>
        <w:t>6</w:t>
      </w:r>
      <w:r>
        <w:rPr>
          <w:rFonts w:ascii="Times New Roman" w:hAnsi="Times New Roman" w:cs="Times New Roman" w:eastAsiaTheme="minorEastAsia"/>
          <w:sz w:val="24"/>
          <w:szCs w:val="32"/>
        </w:rPr>
        <w:t>年</w:t>
      </w:r>
      <w:r>
        <w:rPr>
          <w:rFonts w:hint="eastAsia" w:ascii="Times New Roman" w:hAnsi="Times New Roman" w:cs="Times New Roman" w:eastAsiaTheme="minorEastAsia"/>
          <w:sz w:val="24"/>
          <w:szCs w:val="32"/>
          <w:lang w:val="en-US" w:eastAsia="zh-CN"/>
        </w:rPr>
        <w:t>3</w:t>
      </w:r>
      <w:r>
        <w:rPr>
          <w:rFonts w:hint="eastAsia" w:ascii="Times New Roman" w:hAnsi="Times New Roman" w:cs="Times New Roman" w:eastAsiaTheme="minorEastAsia"/>
          <w:sz w:val="24"/>
          <w:szCs w:val="32"/>
        </w:rPr>
        <w:t>月</w:t>
      </w:r>
      <w:r>
        <w:rPr>
          <w:rFonts w:hint="eastAsia" w:ascii="Times New Roman" w:hAnsi="Times New Roman" w:cs="Times New Roman" w:eastAsiaTheme="minorEastAsia"/>
          <w:sz w:val="24"/>
          <w:szCs w:val="32"/>
          <w:lang w:val="en-US" w:eastAsia="zh-CN"/>
        </w:rPr>
        <w:t>1</w:t>
      </w:r>
      <w:r>
        <w:rPr>
          <w:rFonts w:hint="eastAsia" w:ascii="Times New Roman" w:hAnsi="Times New Roman" w:cs="Times New Roman" w:eastAsiaTheme="minorEastAsia"/>
          <w:sz w:val="24"/>
          <w:szCs w:val="32"/>
        </w:rPr>
        <w:t>日</w:t>
      </w:r>
      <w:r>
        <w:rPr>
          <w:rFonts w:ascii="Times New Roman" w:hAnsi="Times New Roman" w:cs="Times New Roman" w:eastAsiaTheme="minorEastAsia"/>
          <w:sz w:val="24"/>
          <w:szCs w:val="32"/>
        </w:rPr>
        <w:t>竣工，</w:t>
      </w:r>
      <w:r>
        <w:rPr>
          <w:rFonts w:hint="eastAsia" w:ascii="Times New Roman" w:hAnsi="Times New Roman" w:cs="Times New Roman" w:eastAsiaTheme="minorEastAsia"/>
          <w:sz w:val="24"/>
          <w:szCs w:val="32"/>
        </w:rPr>
        <w:t>调试</w:t>
      </w:r>
      <w:r>
        <w:rPr>
          <w:rFonts w:ascii="Times New Roman" w:hAnsi="Times New Roman" w:cs="Times New Roman" w:eastAsiaTheme="minorEastAsia"/>
          <w:sz w:val="24"/>
          <w:szCs w:val="32"/>
        </w:rPr>
        <w:t>日期为202</w:t>
      </w:r>
      <w:r>
        <w:rPr>
          <w:rFonts w:hint="eastAsia" w:cs="Times New Roman" w:eastAsiaTheme="minorEastAsia"/>
          <w:sz w:val="24"/>
          <w:szCs w:val="32"/>
          <w:lang w:val="en-US" w:eastAsia="zh-CN"/>
        </w:rPr>
        <w:t>6</w:t>
      </w:r>
      <w:r>
        <w:rPr>
          <w:rFonts w:ascii="Times New Roman" w:hAnsi="Times New Roman" w:cs="Times New Roman" w:eastAsiaTheme="minorEastAsia"/>
          <w:sz w:val="24"/>
          <w:szCs w:val="32"/>
        </w:rPr>
        <w:t>年</w:t>
      </w:r>
      <w:r>
        <w:rPr>
          <w:rFonts w:hint="eastAsia" w:ascii="Times New Roman" w:hAnsi="Times New Roman" w:cs="Times New Roman" w:eastAsiaTheme="minorEastAsia"/>
          <w:sz w:val="24"/>
          <w:szCs w:val="32"/>
          <w:lang w:val="en-US" w:eastAsia="zh-CN"/>
        </w:rPr>
        <w:t>3</w:t>
      </w:r>
      <w:r>
        <w:rPr>
          <w:rFonts w:hint="eastAsia" w:ascii="Times New Roman" w:hAnsi="Times New Roman" w:cs="Times New Roman" w:eastAsiaTheme="minorEastAsia"/>
          <w:sz w:val="24"/>
          <w:szCs w:val="32"/>
        </w:rPr>
        <w:t>月</w:t>
      </w:r>
      <w:r>
        <w:rPr>
          <w:rFonts w:hint="eastAsia" w:ascii="Times New Roman" w:hAnsi="Times New Roman" w:cs="Times New Roman" w:eastAsiaTheme="minorEastAsia"/>
          <w:sz w:val="24"/>
          <w:szCs w:val="32"/>
          <w:lang w:val="en-US" w:eastAsia="zh-CN"/>
        </w:rPr>
        <w:t>1</w:t>
      </w:r>
      <w:r>
        <w:rPr>
          <w:rFonts w:hint="eastAsia" w:ascii="Times New Roman" w:hAnsi="Times New Roman" w:cs="Times New Roman" w:eastAsiaTheme="minorEastAsia"/>
          <w:sz w:val="24"/>
          <w:szCs w:val="32"/>
        </w:rPr>
        <w:t>日</w:t>
      </w:r>
      <w:r>
        <w:rPr>
          <w:rFonts w:ascii="Times New Roman" w:hAnsi="Times New Roman" w:cs="Times New Roman" w:eastAsiaTheme="minorEastAsia"/>
          <w:sz w:val="24"/>
          <w:szCs w:val="32"/>
        </w:rPr>
        <w:t>至</w:t>
      </w:r>
      <w:r>
        <w:rPr>
          <w:rFonts w:hint="eastAsia" w:ascii="Times New Roman" w:hAnsi="Times New Roman" w:cs="Times New Roman" w:eastAsiaTheme="minorEastAsia"/>
          <w:sz w:val="24"/>
          <w:szCs w:val="32"/>
          <w:lang w:val="en-US" w:eastAsia="zh-CN"/>
        </w:rPr>
        <w:t>2026年4</w:t>
      </w:r>
      <w:r>
        <w:rPr>
          <w:rFonts w:hint="eastAsia" w:ascii="Times New Roman" w:hAnsi="Times New Roman" w:cs="Times New Roman" w:eastAsiaTheme="minorEastAsia"/>
          <w:sz w:val="24"/>
          <w:szCs w:val="32"/>
        </w:rPr>
        <w:t>月</w:t>
      </w:r>
      <w:r>
        <w:rPr>
          <w:rFonts w:hint="eastAsia" w:cs="Times New Roman" w:eastAsiaTheme="minorEastAsia"/>
          <w:sz w:val="24"/>
          <w:szCs w:val="32"/>
          <w:lang w:val="en-US" w:eastAsia="zh-CN"/>
        </w:rPr>
        <w:t>26</w:t>
      </w:r>
      <w:r>
        <w:rPr>
          <w:rFonts w:hint="eastAsia" w:ascii="Times New Roman" w:hAnsi="Times New Roman" w:cs="Times New Roman" w:eastAsiaTheme="minorEastAsia"/>
          <w:sz w:val="24"/>
          <w:szCs w:val="32"/>
        </w:rPr>
        <w:t>日</w:t>
      </w:r>
      <w:r>
        <w:rPr>
          <w:rFonts w:ascii="Times New Roman" w:hAnsi="Times New Roman" w:cs="Times New Roman" w:eastAsiaTheme="minorEastAsia"/>
          <w:sz w:val="24"/>
          <w:szCs w:val="32"/>
        </w:rPr>
        <w:t>。</w:t>
      </w:r>
      <w:r>
        <w:rPr>
          <w:rFonts w:hint="eastAsia" w:ascii="Times New Roman" w:hAnsi="Times New Roman" w:cs="Times New Roman" w:eastAsiaTheme="minorEastAsia"/>
          <w:sz w:val="24"/>
          <w:szCs w:val="32"/>
        </w:rPr>
        <w:t>截至目前</w:t>
      </w:r>
      <w:r>
        <w:rPr>
          <w:rFonts w:ascii="Times New Roman" w:hAnsi="Times New Roman" w:cs="Times New Roman" w:eastAsiaTheme="minorEastAsia"/>
          <w:sz w:val="24"/>
          <w:szCs w:val="32"/>
        </w:rPr>
        <w:t>，项目</w:t>
      </w:r>
      <w:r>
        <w:rPr>
          <w:rFonts w:hint="eastAsia" w:ascii="Times New Roman" w:hAnsi="Times New Roman" w:cs="Times New Roman" w:eastAsiaTheme="minorEastAsia"/>
          <w:sz w:val="24"/>
          <w:szCs w:val="32"/>
        </w:rPr>
        <w:t>生产</w:t>
      </w:r>
      <w:r>
        <w:rPr>
          <w:rFonts w:ascii="Times New Roman" w:hAnsi="Times New Roman" w:cs="Times New Roman" w:eastAsiaTheme="minorEastAsia"/>
          <w:sz w:val="24"/>
          <w:szCs w:val="32"/>
        </w:rPr>
        <w:t>能力已经达到</w:t>
      </w:r>
      <w:r>
        <w:rPr>
          <w:rFonts w:hint="eastAsia" w:ascii="Times New Roman" w:hAnsi="Times New Roman" w:cs="Times New Roman" w:eastAsiaTheme="minorEastAsia"/>
          <w:sz w:val="24"/>
          <w:szCs w:val="24"/>
          <w:highlight w:val="none"/>
        </w:rPr>
        <w:t>年产</w:t>
      </w:r>
      <w:r>
        <w:rPr>
          <w:rFonts w:hint="eastAsia" w:ascii="Times New Roman" w:hAnsi="Times New Roman" w:cs="Times New Roman" w:eastAsiaTheme="minorEastAsia"/>
          <w:sz w:val="24"/>
          <w:szCs w:val="24"/>
          <w:highlight w:val="none"/>
          <w:lang w:val="en-US" w:eastAsia="zh-CN"/>
        </w:rPr>
        <w:t>200吨</w:t>
      </w:r>
      <w:r>
        <w:rPr>
          <w:rFonts w:hint="eastAsia" w:ascii="Times New Roman" w:hAnsi="Times New Roman" w:cs="Times New Roman" w:eastAsiaTheme="minorEastAsia"/>
          <w:sz w:val="24"/>
          <w:szCs w:val="32"/>
          <w:lang w:eastAsia="zh-CN"/>
        </w:rPr>
        <w:t>甘露醇碳酸硫酸酯</w:t>
      </w:r>
      <w:r>
        <w:rPr>
          <w:rFonts w:hint="eastAsia" w:ascii="Times New Roman" w:hAnsi="Times New Roman" w:cs="Times New Roman" w:eastAsiaTheme="minorEastAsia"/>
          <w:sz w:val="24"/>
          <w:szCs w:val="32"/>
        </w:rPr>
        <w:t>。各项环保措施正常运行，</w:t>
      </w:r>
      <w:r>
        <w:rPr>
          <w:rFonts w:ascii="Times New Roman" w:hAnsi="Times New Roman" w:cs="Times New Roman" w:eastAsiaTheme="minorEastAsia"/>
          <w:sz w:val="24"/>
          <w:szCs w:val="32"/>
        </w:rPr>
        <w:t>满足竣工验收的条件，本次验收范围为</w:t>
      </w:r>
      <w:r>
        <w:rPr>
          <w:rFonts w:hint="eastAsia" w:ascii="Times New Roman" w:hAnsi="Times New Roman" w:cs="Times New Roman" w:eastAsiaTheme="minorEastAsia"/>
          <w:sz w:val="24"/>
          <w:szCs w:val="32"/>
          <w:lang w:eastAsia="zh-CN"/>
        </w:rPr>
        <w:t>年产200吨锂电池添加剂甘露醇碳酸硫酸酯纯化建设项目</w:t>
      </w:r>
      <w:r>
        <w:rPr>
          <w:rFonts w:ascii="Times New Roman" w:hAnsi="Times New Roman" w:cs="Times New Roman" w:eastAsiaTheme="minorEastAsia"/>
          <w:sz w:val="24"/>
          <w:szCs w:val="32"/>
        </w:rPr>
        <w:t>环境影响评价中的建设内容及实际变化内容。</w:t>
      </w:r>
    </w:p>
    <w:p w14:paraId="307BACFE">
      <w:pPr>
        <w:spacing w:line="360" w:lineRule="auto"/>
        <w:ind w:firstLine="480" w:firstLineChars="200"/>
        <w:rPr>
          <w:rFonts w:ascii="Times New Roman" w:hAnsi="Times New Roman" w:cs="Times New Roman" w:eastAsiaTheme="minorEastAsia"/>
          <w:sz w:val="24"/>
          <w:szCs w:val="32"/>
        </w:rPr>
      </w:pPr>
      <w:r>
        <w:rPr>
          <w:rFonts w:hint="eastAsia" w:ascii="Times New Roman" w:hAnsi="Times New Roman" w:cs="Times New Roman" w:eastAsiaTheme="minorEastAsia"/>
          <w:sz w:val="24"/>
          <w:szCs w:val="24"/>
          <w:lang w:eastAsia="zh-CN"/>
        </w:rPr>
        <w:t>安庆汇辰科技有限公司</w:t>
      </w:r>
      <w:r>
        <w:rPr>
          <w:rFonts w:hint="default" w:ascii="Times New Roman" w:hAnsi="Times New Roman" w:cs="Times New Roman" w:eastAsiaTheme="minorEastAsia"/>
          <w:sz w:val="24"/>
          <w:szCs w:val="24"/>
        </w:rPr>
        <w:t>于202</w:t>
      </w:r>
      <w:r>
        <w:rPr>
          <w:rFonts w:hint="default" w:ascii="Times New Roman" w:hAnsi="Times New Roman" w:cs="Times New Roman" w:eastAsiaTheme="minorEastAsia"/>
          <w:sz w:val="24"/>
          <w:szCs w:val="24"/>
          <w:lang w:val="en-US" w:eastAsia="zh-CN"/>
        </w:rPr>
        <w:t>5</w:t>
      </w:r>
      <w:r>
        <w:rPr>
          <w:rFonts w:hint="default" w:ascii="Times New Roman" w:hAnsi="Times New Roman" w:cs="Times New Roman" w:eastAsiaTheme="minorEastAsia"/>
          <w:sz w:val="24"/>
          <w:szCs w:val="24"/>
        </w:rPr>
        <w:t>年</w:t>
      </w:r>
      <w:r>
        <w:rPr>
          <w:rFonts w:hint="eastAsia" w:ascii="Times New Roman" w:hAnsi="Times New Roman" w:cs="Times New Roman" w:eastAsiaTheme="minorEastAsia"/>
          <w:sz w:val="24"/>
          <w:szCs w:val="24"/>
          <w:lang w:val="en-US" w:eastAsia="zh-CN"/>
        </w:rPr>
        <w:t>9</w:t>
      </w:r>
      <w:r>
        <w:rPr>
          <w:rFonts w:hint="default" w:ascii="Times New Roman" w:hAnsi="Times New Roman" w:cs="Times New Roman" w:eastAsiaTheme="minorEastAsia"/>
          <w:sz w:val="24"/>
          <w:szCs w:val="24"/>
        </w:rPr>
        <w:t>月</w:t>
      </w:r>
      <w:r>
        <w:rPr>
          <w:rFonts w:hint="eastAsia" w:ascii="Times New Roman" w:hAnsi="Times New Roman" w:cs="Times New Roman" w:eastAsiaTheme="minorEastAsia"/>
          <w:sz w:val="24"/>
          <w:szCs w:val="24"/>
          <w:lang w:val="en-US" w:eastAsia="zh-CN"/>
        </w:rPr>
        <w:t>23</w:t>
      </w:r>
      <w:r>
        <w:rPr>
          <w:rFonts w:hint="default" w:ascii="Times New Roman" w:hAnsi="Times New Roman" w:cs="Times New Roman" w:eastAsiaTheme="minorEastAsia"/>
          <w:sz w:val="24"/>
          <w:szCs w:val="24"/>
        </w:rPr>
        <w:t>日申请了排污许可证，</w:t>
      </w:r>
      <w:r>
        <w:rPr>
          <w:rFonts w:hint="default" w:ascii="Times New Roman" w:hAnsi="Times New Roman" w:cs="Times New Roman" w:eastAsiaTheme="minorEastAsia"/>
          <w:sz w:val="24"/>
          <w:szCs w:val="24"/>
          <w:lang w:val="en-US" w:eastAsia="zh-CN"/>
        </w:rPr>
        <w:t>编号为：</w:t>
      </w:r>
      <w:r>
        <w:rPr>
          <w:rFonts w:hint="default" w:ascii="Times New Roman" w:hAnsi="Times New Roman" w:eastAsia="MicrosoftYaHei" w:cs="Times New Roman"/>
          <w:sz w:val="24"/>
          <w:szCs w:val="24"/>
        </w:rPr>
        <w:t>91340805MA2U38E48C001Q</w:t>
      </w:r>
      <w:r>
        <w:rPr>
          <w:rFonts w:hint="default" w:ascii="Times New Roman" w:hAnsi="Times New Roman" w:eastAsia="宋体" w:cs="Times New Roman"/>
          <w:sz w:val="24"/>
          <w:szCs w:val="24"/>
          <w:lang w:eastAsia="zh-CN"/>
        </w:rPr>
        <w:t>。</w:t>
      </w:r>
    </w:p>
    <w:p w14:paraId="41E1BE98">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安庆中品检测技术有限公司</w:t>
      </w:r>
      <w:r>
        <w:rPr>
          <w:rFonts w:ascii="Times New Roman" w:hAnsi="Times New Roman" w:eastAsia="宋体" w:cs="Times New Roman"/>
          <w:sz w:val="24"/>
          <w:szCs w:val="24"/>
          <w:highlight w:val="none"/>
        </w:rPr>
        <w:t>（CMA编号：</w:t>
      </w:r>
      <w:r>
        <w:rPr>
          <w:rFonts w:hint="eastAsia" w:ascii="Times New Roman" w:hAnsi="Times New Roman" w:eastAsia="宋体" w:cs="Times New Roman"/>
          <w:sz w:val="24"/>
          <w:szCs w:val="24"/>
          <w:highlight w:val="none"/>
          <w:lang w:eastAsia="zh-CN"/>
        </w:rPr>
        <w:t>241212052301</w:t>
      </w:r>
      <w:r>
        <w:rPr>
          <w:rFonts w:ascii="Times New Roman" w:hAnsi="Times New Roman" w:eastAsia="宋体" w:cs="Times New Roman"/>
          <w:sz w:val="24"/>
          <w:szCs w:val="24"/>
          <w:highlight w:val="none"/>
        </w:rPr>
        <w:t>）于</w:t>
      </w:r>
      <w:r>
        <w:rPr>
          <w:rFonts w:hint="eastAsia" w:ascii="Times New Roman" w:hAnsi="Times New Roman" w:eastAsia="宋体" w:cs="Times New Roman"/>
          <w:sz w:val="24"/>
          <w:szCs w:val="24"/>
          <w:highlight w:val="none"/>
        </w:rPr>
        <w:t>2026年4月14日~4月</w:t>
      </w:r>
      <w:r>
        <w:rPr>
          <w:rFonts w:hint="eastAsia" w:ascii="Times New Roman" w:hAnsi="Times New Roman" w:eastAsia="宋体" w:cs="Times New Roman"/>
          <w:sz w:val="24"/>
          <w:szCs w:val="24"/>
          <w:highlight w:val="none"/>
          <w:lang w:val="en-US" w:eastAsia="zh-CN"/>
        </w:rPr>
        <w:t>17</w:t>
      </w:r>
      <w:r>
        <w:rPr>
          <w:rFonts w:hint="eastAsia" w:ascii="Times New Roman" w:hAnsi="Times New Roman" w:eastAsia="宋体" w:cs="Times New Roman"/>
          <w:sz w:val="24"/>
          <w:szCs w:val="24"/>
          <w:highlight w:val="none"/>
        </w:rPr>
        <w:t>日</w:t>
      </w:r>
      <w:r>
        <w:rPr>
          <w:rFonts w:ascii="Times New Roman" w:hAnsi="Times New Roman" w:eastAsia="宋体" w:cs="Times New Roman"/>
          <w:sz w:val="24"/>
          <w:szCs w:val="24"/>
          <w:highlight w:val="none"/>
        </w:rPr>
        <w:t>组织对项目环境保护设施的污染物排放情况进行了全面的调查和监测。</w:t>
      </w:r>
    </w:p>
    <w:p w14:paraId="2DB47BC7">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eastAsia="zh-CN"/>
        </w:rPr>
        <w:t>三</w:t>
      </w:r>
      <w:r>
        <w:rPr>
          <w:rFonts w:hint="default"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eastAsia="zh-CN"/>
        </w:rPr>
        <w:t>投资情况</w:t>
      </w:r>
    </w:p>
    <w:p w14:paraId="39CA5E22">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本</w:t>
      </w:r>
      <w:r>
        <w:rPr>
          <w:rFonts w:hint="default" w:ascii="Times New Roman" w:hAnsi="Times New Roman" w:eastAsia="宋体" w:cs="Times New Roman"/>
          <w:sz w:val="24"/>
          <w:szCs w:val="24"/>
          <w:highlight w:val="none"/>
          <w:lang w:eastAsia="zh-CN"/>
        </w:rPr>
        <w:t>项目</w:t>
      </w:r>
      <w:r>
        <w:rPr>
          <w:rFonts w:hint="eastAsia" w:ascii="Times New Roman" w:hAnsi="Times New Roman" w:eastAsia="宋体" w:cs="Times New Roman"/>
          <w:sz w:val="24"/>
          <w:szCs w:val="24"/>
          <w:highlight w:val="none"/>
          <w:lang w:eastAsia="zh-CN"/>
        </w:rPr>
        <w:t>实际</w:t>
      </w:r>
      <w:r>
        <w:rPr>
          <w:rFonts w:hint="default" w:ascii="Times New Roman" w:hAnsi="Times New Roman" w:eastAsia="宋体" w:cs="Times New Roman"/>
          <w:sz w:val="24"/>
          <w:szCs w:val="24"/>
          <w:highlight w:val="none"/>
          <w:lang w:eastAsia="zh-CN"/>
        </w:rPr>
        <w:t>总投资</w:t>
      </w:r>
      <w:r>
        <w:rPr>
          <w:rFonts w:hint="eastAsia" w:ascii="Times New Roman" w:hAnsi="Times New Roman" w:eastAsia="宋体" w:cs="Times New Roman"/>
          <w:sz w:val="24"/>
          <w:szCs w:val="24"/>
          <w:highlight w:val="none"/>
          <w:lang w:eastAsia="zh-CN"/>
        </w:rPr>
        <w:t>额</w:t>
      </w:r>
      <w:r>
        <w:rPr>
          <w:rFonts w:hint="default" w:ascii="Times New Roman" w:hAnsi="Times New Roman" w:eastAsia="宋体" w:cs="Times New Roman"/>
          <w:sz w:val="24"/>
          <w:szCs w:val="24"/>
          <w:highlight w:val="none"/>
          <w:lang w:eastAsia="zh-CN"/>
        </w:rPr>
        <w:t>为</w:t>
      </w:r>
      <w:r>
        <w:rPr>
          <w:rFonts w:hint="eastAsia" w:cs="Times New Roman"/>
          <w:sz w:val="24"/>
          <w:szCs w:val="24"/>
          <w:highlight w:val="none"/>
          <w:lang w:val="en-US" w:eastAsia="zh-CN"/>
        </w:rPr>
        <w:t>3200</w:t>
      </w:r>
      <w:r>
        <w:rPr>
          <w:rFonts w:hint="default" w:ascii="Times New Roman" w:hAnsi="Times New Roman" w:eastAsia="宋体" w:cs="Times New Roman"/>
          <w:sz w:val="24"/>
          <w:szCs w:val="24"/>
          <w:highlight w:val="none"/>
          <w:lang w:eastAsia="zh-CN"/>
        </w:rPr>
        <w:t>万元，其中环保投资</w:t>
      </w:r>
      <w:r>
        <w:rPr>
          <w:rFonts w:hint="eastAsia" w:cs="Times New Roman"/>
          <w:sz w:val="24"/>
          <w:szCs w:val="24"/>
          <w:highlight w:val="none"/>
          <w:lang w:val="en-US" w:eastAsia="zh-CN"/>
        </w:rPr>
        <w:t>92</w:t>
      </w:r>
      <w:r>
        <w:rPr>
          <w:rFonts w:hint="default" w:ascii="Times New Roman" w:hAnsi="Times New Roman" w:eastAsia="宋体" w:cs="Times New Roman"/>
          <w:sz w:val="24"/>
          <w:szCs w:val="24"/>
          <w:highlight w:val="none"/>
          <w:lang w:eastAsia="zh-CN"/>
        </w:rPr>
        <w:t>万元。</w:t>
      </w:r>
    </w:p>
    <w:p w14:paraId="5C433AA3">
      <w:pPr>
        <w:pStyle w:val="6"/>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eastAsia="zh-CN"/>
        </w:rPr>
        <w:t>四</w:t>
      </w:r>
      <w:r>
        <w:rPr>
          <w:rFonts w:hint="default" w:ascii="Times New Roman" w:hAnsi="Times New Roman" w:eastAsia="宋体" w:cs="Times New Roman"/>
          <w:sz w:val="24"/>
          <w:szCs w:val="24"/>
          <w:highlight w:val="none"/>
          <w:lang w:eastAsia="zh-CN"/>
        </w:rPr>
        <w:t>）验收范围</w:t>
      </w:r>
    </w:p>
    <w:p w14:paraId="205C8419">
      <w:pPr>
        <w:pStyle w:val="6"/>
        <w:spacing w:before="0" w:line="360" w:lineRule="auto"/>
        <w:ind w:firstLine="480"/>
        <w:rPr>
          <w:rFonts w:hint="default" w:ascii="Times New Roman" w:hAnsi="Times New Roman" w:eastAsia="宋体" w:cs="Times New Roman"/>
          <w:sz w:val="24"/>
          <w:szCs w:val="24"/>
          <w:highlight w:val="none"/>
          <w:lang w:eastAsia="zh-CN"/>
        </w:rPr>
      </w:pPr>
      <w:r>
        <w:rPr>
          <w:rFonts w:ascii="Times New Roman" w:hAnsi="Times New Roman" w:cs="Times New Roman"/>
          <w:sz w:val="24"/>
          <w:szCs w:val="32"/>
        </w:rPr>
        <w:t>本次验收范围为</w:t>
      </w:r>
      <w:r>
        <w:rPr>
          <w:rFonts w:hint="eastAsia" w:ascii="Times New Roman" w:hAnsi="Times New Roman" w:cs="Times New Roman"/>
          <w:sz w:val="24"/>
          <w:szCs w:val="32"/>
          <w:lang w:eastAsia="zh-CN"/>
        </w:rPr>
        <w:t>年产200吨锂电池添加剂甘露醇碳酸硫酸酯纯化建设项目</w:t>
      </w:r>
      <w:r>
        <w:rPr>
          <w:rFonts w:ascii="Times New Roman" w:hAnsi="Times New Roman" w:cs="Times New Roman"/>
          <w:sz w:val="24"/>
          <w:szCs w:val="32"/>
        </w:rPr>
        <w:t>环境影响评价中的建设内容及实际变化内容。</w:t>
      </w:r>
    </w:p>
    <w:p w14:paraId="1507A433">
      <w:pPr>
        <w:pStyle w:val="26"/>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二、工程变动情况</w:t>
      </w:r>
    </w:p>
    <w:p w14:paraId="6DAFA4D4">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对照《污染影响类建设项目重大变动清单（试行）》，本项目无重大变更，因此无需重新报批环评。</w:t>
      </w:r>
    </w:p>
    <w:p w14:paraId="76C3341B">
      <w:pPr>
        <w:pStyle w:val="29"/>
        <w:keepNext w:val="0"/>
        <w:keepLines w:val="0"/>
        <w:suppressLineNumbers w:val="0"/>
        <w:bidi w:val="0"/>
        <w:spacing w:before="0" w:beforeAutospacing="0" w:after="0" w:afterAutospacing="0"/>
        <w:ind w:left="0" w:right="0"/>
        <w:rPr>
          <w:rFonts w:hint="eastAsia" w:ascii="宋体" w:hAnsi="宋体" w:eastAsia="Times New Roman" w:cs="Times New Roman"/>
          <w:sz w:val="24"/>
          <w:szCs w:val="24"/>
          <w:lang w:eastAsia="zh-CN"/>
        </w:rPr>
      </w:pPr>
      <w:r>
        <w:rPr>
          <w:rFonts w:hint="eastAsia" w:ascii="宋体" w:hAnsi="宋体" w:eastAsia="Times New Roman" w:cs="Times New Roman"/>
          <w:sz w:val="24"/>
          <w:szCs w:val="24"/>
          <w:lang w:eastAsia="zh-CN"/>
        </w:rPr>
        <w:t>表</w:t>
      </w:r>
      <w:r>
        <w:rPr>
          <w:rFonts w:hint="eastAsia" w:ascii="宋体" w:hAnsi="宋体" w:cs="Times New Roman"/>
          <w:sz w:val="24"/>
          <w:szCs w:val="24"/>
          <w:lang w:val="en-US" w:eastAsia="zh-CN"/>
        </w:rPr>
        <w:t>1</w:t>
      </w:r>
      <w:r>
        <w:rPr>
          <w:rFonts w:hint="eastAsia" w:ascii="宋体" w:hAnsi="宋体" w:eastAsia="Times New Roman" w:cs="Times New Roman"/>
          <w:sz w:val="24"/>
          <w:szCs w:val="24"/>
          <w:lang w:eastAsia="zh-CN"/>
        </w:rPr>
        <w:t xml:space="preserve"> 项目变动与《污染影响类建设项目重大变动清单（试行）》对照表</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2"/>
        <w:gridCol w:w="6467"/>
        <w:gridCol w:w="1510"/>
      </w:tblGrid>
      <w:tr w14:paraId="2F9C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318" w:type="pct"/>
            <w:noWrap w:val="0"/>
            <w:vAlign w:val="center"/>
          </w:tcPr>
          <w:p w14:paraId="0A971BC1">
            <w:pPr>
              <w:pStyle w:val="34"/>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rPr>
            </w:pPr>
            <w:r>
              <w:rPr>
                <w:rFonts w:hint="default" w:ascii="Times New Roman" w:hAnsi="Times New Roman" w:cs="Times New Roman"/>
              </w:rPr>
              <w:t>序号</w:t>
            </w:r>
          </w:p>
        </w:tc>
        <w:tc>
          <w:tcPr>
            <w:tcW w:w="3795" w:type="pct"/>
            <w:noWrap w:val="0"/>
            <w:vAlign w:val="center"/>
          </w:tcPr>
          <w:p w14:paraId="6D7A0622">
            <w:pPr>
              <w:pStyle w:val="34"/>
              <w:keepNext w:val="0"/>
              <w:keepLines w:val="0"/>
              <w:pageBreakBefore w:val="0"/>
              <w:widowControl/>
              <w:kinsoku/>
              <w:wordWrap/>
              <w:overflowPunct/>
              <w:topLinePunct w:val="0"/>
              <w:bidi w:val="0"/>
              <w:adjustRightInd w:val="0"/>
              <w:snapToGrid w:val="0"/>
              <w:spacing w:after="0"/>
              <w:ind w:firstLine="0" w:firstLineChars="0"/>
              <w:jc w:val="center"/>
              <w:rPr>
                <w:rFonts w:hint="default" w:ascii="Times New Roman" w:hAnsi="Times New Roman" w:cs="Times New Roman"/>
              </w:rPr>
            </w:pPr>
            <w:r>
              <w:rPr>
                <w:rFonts w:hint="default" w:ascii="Times New Roman" w:hAnsi="Times New Roman" w:cs="Times New Roman"/>
              </w:rPr>
              <w:t>《污染影响类建设项目重大变动清单（试行）》</w:t>
            </w:r>
          </w:p>
        </w:tc>
        <w:tc>
          <w:tcPr>
            <w:tcW w:w="886" w:type="pct"/>
            <w:noWrap w:val="0"/>
            <w:vAlign w:val="center"/>
          </w:tcPr>
          <w:p w14:paraId="7E198FB7">
            <w:pPr>
              <w:pStyle w:val="34"/>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eastAsia="宋体" w:cs="Times New Roman"/>
                <w:lang w:eastAsia="zh-CN"/>
              </w:rPr>
            </w:pPr>
            <w:r>
              <w:rPr>
                <w:rFonts w:hint="default" w:ascii="Times New Roman" w:hAnsi="Times New Roman" w:cs="Times New Roman"/>
                <w:lang w:eastAsia="zh-CN"/>
              </w:rPr>
              <w:t>是否发生重大变动</w:t>
            </w:r>
          </w:p>
        </w:tc>
      </w:tr>
      <w:tr w14:paraId="27BF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8" w:type="pct"/>
            <w:noWrap w:val="0"/>
            <w:vAlign w:val="center"/>
          </w:tcPr>
          <w:p w14:paraId="7AEF33BF">
            <w:pPr>
              <w:pStyle w:val="34"/>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rPr>
            </w:pPr>
            <w:r>
              <w:rPr>
                <w:rFonts w:hint="default" w:ascii="Times New Roman" w:hAnsi="Times New Roman" w:cs="Times New Roman"/>
              </w:rPr>
              <w:t>1</w:t>
            </w:r>
          </w:p>
        </w:tc>
        <w:tc>
          <w:tcPr>
            <w:tcW w:w="3795" w:type="pct"/>
            <w:noWrap w:val="0"/>
            <w:vAlign w:val="top"/>
          </w:tcPr>
          <w:p w14:paraId="45FE478E">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1.生产、处置或储存能力增大30%及以上的。</w:t>
            </w:r>
          </w:p>
          <w:p w14:paraId="56F31EC8">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2.生产、处置或储存能力增大，导致废水第一类污染物排放量增加的。</w:t>
            </w:r>
          </w:p>
          <w:p w14:paraId="12CE4D4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3.位于环境质量不达标区的建设项目生产、处置或储存能力增大，导致相应污染物排放量增加的</w:t>
            </w:r>
          </w:p>
        </w:tc>
        <w:tc>
          <w:tcPr>
            <w:tcW w:w="886" w:type="pct"/>
            <w:noWrap w:val="0"/>
            <w:vAlign w:val="center"/>
          </w:tcPr>
          <w:p w14:paraId="1EE32EA2">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eastAsia" w:cs="Times New Roman"/>
                <w:sz w:val="21"/>
                <w:szCs w:val="20"/>
                <w:lang w:val="en-US" w:eastAsia="zh-CN" w:bidi="ar-SA"/>
              </w:rPr>
              <w:t>本项目不涉及</w:t>
            </w:r>
          </w:p>
        </w:tc>
      </w:tr>
      <w:tr w14:paraId="7C38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318" w:type="pct"/>
            <w:noWrap w:val="0"/>
            <w:vAlign w:val="center"/>
          </w:tcPr>
          <w:p w14:paraId="07D8F20E">
            <w:pPr>
              <w:pStyle w:val="34"/>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eastAsia="宋体" w:cs="Times New Roman"/>
                <w:lang w:val="en-US" w:eastAsia="zh-CN"/>
              </w:rPr>
            </w:pPr>
            <w:r>
              <w:rPr>
                <w:rFonts w:hint="default" w:ascii="Times New Roman" w:hAnsi="Times New Roman" w:cs="Times New Roman"/>
                <w:lang w:val="en-US" w:eastAsia="zh-CN"/>
              </w:rPr>
              <w:t>2</w:t>
            </w:r>
          </w:p>
        </w:tc>
        <w:tc>
          <w:tcPr>
            <w:tcW w:w="3795" w:type="pct"/>
            <w:noWrap w:val="0"/>
            <w:vAlign w:val="top"/>
          </w:tcPr>
          <w:p w14:paraId="6C6E970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新增产品品种或生产工艺(含主要生产装置、设备及配套设施)、主要原辅材料、燃料变化，导致以下情形之一：</w:t>
            </w:r>
          </w:p>
          <w:p w14:paraId="304FD99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（1）新增排放污染物种类的（毒性、挥发性降低的除外）；</w:t>
            </w:r>
          </w:p>
          <w:p w14:paraId="14FC6E9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（2）位于环境质量不达标区的建设项目相应污染物排放量增加的；</w:t>
            </w:r>
          </w:p>
          <w:p w14:paraId="7A59726B">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(3)废水第一类污染物排放量增加的；</w:t>
            </w:r>
          </w:p>
          <w:p w14:paraId="14582F3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(4)其他污染物排放量增加10%及以上的。</w:t>
            </w:r>
          </w:p>
        </w:tc>
        <w:tc>
          <w:tcPr>
            <w:tcW w:w="886" w:type="pct"/>
            <w:noWrap w:val="0"/>
            <w:vAlign w:val="center"/>
          </w:tcPr>
          <w:p w14:paraId="70806FAA">
            <w:pPr>
              <w:pStyle w:val="34"/>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szCs w:val="18"/>
                <w:vertAlign w:val="baseline"/>
                <w:lang w:eastAsia="zh-CN"/>
              </w:rPr>
            </w:pPr>
            <w:r>
              <w:rPr>
                <w:rFonts w:hint="eastAsia" w:cs="Times New Roman"/>
                <w:sz w:val="21"/>
                <w:szCs w:val="20"/>
                <w:lang w:val="en-US" w:eastAsia="zh-CN" w:bidi="ar-SA"/>
              </w:rPr>
              <w:t>本项目不涉及</w:t>
            </w:r>
          </w:p>
        </w:tc>
      </w:tr>
      <w:tr w14:paraId="1BB6E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318" w:type="pct"/>
            <w:noWrap w:val="0"/>
            <w:vAlign w:val="center"/>
          </w:tcPr>
          <w:p w14:paraId="315D4AE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3</w:t>
            </w:r>
          </w:p>
        </w:tc>
        <w:tc>
          <w:tcPr>
            <w:tcW w:w="3795" w:type="pct"/>
            <w:noWrap w:val="0"/>
            <w:vAlign w:val="top"/>
          </w:tcPr>
          <w:p w14:paraId="6DD84215">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废气、废水污染防治措施变化，导致第6条中所列情形之一（废气无组织排放改为有组织排放、污染防治措施强化或改进的除外）或大气污染物无组织排放量增加10%及以上的。</w:t>
            </w:r>
          </w:p>
          <w:p w14:paraId="4CDDC263">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固体废物利用处置方式由委托外单位利用处置改为自行利用处置的（自行利用处置设施单独开展环境影响评价的除外）；固体废物自行处置方式变化，导致不利环境影响加重的。</w:t>
            </w:r>
          </w:p>
        </w:tc>
        <w:tc>
          <w:tcPr>
            <w:tcW w:w="886" w:type="pct"/>
            <w:noWrap w:val="0"/>
            <w:vAlign w:val="center"/>
          </w:tcPr>
          <w:p w14:paraId="3E88B7DB">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eastAsia" w:cs="Times New Roman"/>
                <w:sz w:val="21"/>
                <w:szCs w:val="20"/>
                <w:lang w:val="en-US" w:eastAsia="zh-CN" w:bidi="ar-SA"/>
              </w:rPr>
              <w:t>本项目不涉及</w:t>
            </w:r>
          </w:p>
        </w:tc>
      </w:tr>
      <w:tr w14:paraId="3885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8" w:type="pct"/>
            <w:noWrap w:val="0"/>
            <w:vAlign w:val="center"/>
          </w:tcPr>
          <w:p w14:paraId="46FE2C92">
            <w:pPr>
              <w:pStyle w:val="34"/>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lang w:val="en-US" w:eastAsia="zh-CN"/>
              </w:rPr>
            </w:pPr>
            <w:r>
              <w:rPr>
                <w:rFonts w:hint="eastAsia" w:cs="Times New Roman"/>
                <w:lang w:val="en-US" w:eastAsia="zh-CN"/>
              </w:rPr>
              <w:t>4</w:t>
            </w:r>
          </w:p>
        </w:tc>
        <w:tc>
          <w:tcPr>
            <w:tcW w:w="3795" w:type="pct"/>
            <w:noWrap w:val="0"/>
            <w:vAlign w:val="center"/>
          </w:tcPr>
          <w:p w14:paraId="4091C77E">
            <w:pPr>
              <w:pStyle w:val="34"/>
              <w:keepNext w:val="0"/>
              <w:keepLines w:val="0"/>
              <w:pageBreakBefore w:val="0"/>
              <w:widowControl/>
              <w:kinsoku/>
              <w:wordWrap/>
              <w:overflowPunct/>
              <w:topLinePunct w:val="0"/>
              <w:bidi w:val="0"/>
              <w:adjustRightInd w:val="0"/>
              <w:snapToGrid w:val="0"/>
              <w:spacing w:after="0"/>
              <w:ind w:firstLine="0" w:firstLineChars="0"/>
              <w:jc w:val="left"/>
              <w:rPr>
                <w:rFonts w:hint="default" w:ascii="Times New Roman" w:hAnsi="Times New Roman" w:cs="Times New Roman"/>
                <w:color w:val="000000"/>
                <w:szCs w:val="18"/>
              </w:rPr>
            </w:pPr>
            <w:r>
              <w:rPr>
                <w:rFonts w:hint="default" w:ascii="Times New Roman" w:hAnsi="Times New Roman" w:cs="Times New Roman"/>
                <w:color w:val="000000"/>
                <w:szCs w:val="18"/>
              </w:rPr>
              <w:t>事故废水暂存能力或拦截设施变化，导致环境风险防范能力弱化或降低的。</w:t>
            </w:r>
          </w:p>
        </w:tc>
        <w:tc>
          <w:tcPr>
            <w:tcW w:w="886" w:type="pct"/>
            <w:noWrap w:val="0"/>
            <w:vAlign w:val="center"/>
          </w:tcPr>
          <w:p w14:paraId="40E1F685">
            <w:pPr>
              <w:pStyle w:val="34"/>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eastAsia="宋体" w:cs="Times New Roman"/>
                <w:color w:val="000000"/>
                <w:szCs w:val="18"/>
                <w:lang w:val="en-US" w:eastAsia="zh-CN"/>
              </w:rPr>
            </w:pPr>
            <w:r>
              <w:rPr>
                <w:rFonts w:hint="eastAsia" w:cs="Times New Roman"/>
                <w:sz w:val="21"/>
                <w:szCs w:val="20"/>
                <w:lang w:val="en-US" w:eastAsia="zh-CN" w:bidi="ar-SA"/>
              </w:rPr>
              <w:t>本项目不涉及</w:t>
            </w:r>
          </w:p>
        </w:tc>
      </w:tr>
    </w:tbl>
    <w:p w14:paraId="477FA511">
      <w:pPr>
        <w:pStyle w:val="26"/>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三、环境保护设施建设情况</w:t>
      </w:r>
    </w:p>
    <w:p w14:paraId="401D5BCE">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（一）废水</w:t>
      </w:r>
    </w:p>
    <w:p w14:paraId="19230F40">
      <w:pPr>
        <w:pStyle w:val="6"/>
        <w:spacing w:before="0" w:line="360" w:lineRule="auto"/>
        <w:ind w:firstLine="48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eastAsia="zh-CN"/>
        </w:rPr>
        <w:t>生活污水与生产污水</w:t>
      </w:r>
      <w:r>
        <w:rPr>
          <w:rFonts w:hint="eastAsia" w:ascii="Times New Roman" w:hAnsi="Times New Roman" w:eastAsia="宋体" w:cs="Times New Roman"/>
          <w:sz w:val="24"/>
          <w:szCs w:val="24"/>
          <w:highlight w:val="none"/>
          <w:lang w:val="en-US" w:eastAsia="zh-CN"/>
        </w:rPr>
        <w:t>一同进入低浓度废水收集池</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经过现有厂区污水处理站处理后，</w:t>
      </w:r>
      <w:r>
        <w:rPr>
          <w:rFonts w:hint="eastAsia" w:ascii="Times New Roman" w:hAnsi="Times New Roman" w:eastAsia="宋体" w:cs="Times New Roman"/>
          <w:sz w:val="24"/>
          <w:szCs w:val="24"/>
          <w:highlight w:val="none"/>
          <w:lang w:eastAsia="zh-CN"/>
        </w:rPr>
        <w:t>排入市政污水管网，经</w:t>
      </w:r>
      <w:r>
        <w:rPr>
          <w:rFonts w:hint="eastAsia" w:ascii="Times New Roman" w:hAnsi="Times New Roman" w:eastAsia="宋体" w:cs="Times New Roman"/>
          <w:sz w:val="24"/>
          <w:szCs w:val="24"/>
          <w:highlight w:val="none"/>
          <w:lang w:val="en-US" w:eastAsia="zh-CN"/>
        </w:rPr>
        <w:t>安庆亚同</w:t>
      </w:r>
      <w:r>
        <w:rPr>
          <w:rFonts w:hint="eastAsia" w:ascii="Times New Roman" w:hAnsi="Times New Roman" w:eastAsia="宋体" w:cs="Times New Roman"/>
          <w:sz w:val="24"/>
          <w:szCs w:val="24"/>
          <w:highlight w:val="none"/>
          <w:lang w:eastAsia="zh-CN"/>
        </w:rPr>
        <w:t>城西污水处理厂集中处理</w:t>
      </w:r>
      <w:r>
        <w:rPr>
          <w:rFonts w:hint="eastAsia" w:ascii="Times New Roman" w:hAnsi="Times New Roman" w:eastAsia="宋体" w:cs="Times New Roman"/>
          <w:sz w:val="24"/>
          <w:szCs w:val="24"/>
          <w:highlight w:val="none"/>
          <w:lang w:val="en-US" w:eastAsia="zh-CN"/>
        </w:rPr>
        <w:t>。现有厂区综合污水处理站处理能力为700m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/d，处理工艺如下：</w:t>
      </w:r>
    </w:p>
    <w:p w14:paraId="3C8EC1D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color w:val="auto"/>
          <w:sz w:val="24"/>
          <w:lang w:bidi="ar"/>
        </w:rPr>
      </w:pPr>
      <w:r>
        <w:rPr>
          <w:rFonts w:hint="eastAsia" w:cs="Times New Roman"/>
          <w:color w:val="000000"/>
          <w:sz w:val="24"/>
          <w:szCs w:val="24"/>
          <w:lang w:val="en-US" w:eastAsia="zh-CN"/>
        </w:rPr>
        <w:object>
          <v:shape id="_x0000_i1025" o:spt="75" type="#_x0000_t75" style="height:439.4pt;width:430.5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r>
        <w:rPr>
          <w:rFonts w:hint="default" w:ascii="Times New Roman" w:hAnsi="Times New Roman" w:eastAsia="宋体" w:cs="Times New Roman"/>
          <w:b/>
          <w:kern w:val="2"/>
          <w:sz w:val="24"/>
          <w:szCs w:val="24"/>
          <w:u w:val="single" w:color="FFFFFF"/>
          <w:lang w:val="en-US" w:eastAsia="zh-CN" w:bidi="ar-SA"/>
        </w:rPr>
        <w:t>图</w:t>
      </w:r>
      <w:r>
        <w:rPr>
          <w:rFonts w:hint="eastAsia" w:ascii="Times New Roman" w:hAnsi="Times New Roman" w:eastAsia="宋体" w:cs="Times New Roman"/>
          <w:b/>
          <w:kern w:val="2"/>
          <w:sz w:val="24"/>
          <w:szCs w:val="24"/>
          <w:u w:val="single" w:color="FFFFFF"/>
          <w:lang w:val="en-US" w:eastAsia="zh-CN" w:bidi="ar-SA"/>
        </w:rPr>
        <w:t>3-2污水处理站</w:t>
      </w:r>
      <w:r>
        <w:rPr>
          <w:rFonts w:hint="default" w:ascii="Times New Roman" w:hAnsi="Times New Roman" w:eastAsia="宋体" w:cs="Times New Roman"/>
          <w:b/>
          <w:kern w:val="2"/>
          <w:sz w:val="24"/>
          <w:szCs w:val="24"/>
          <w:u w:val="single" w:color="FFFFFF"/>
          <w:lang w:val="en-US" w:eastAsia="zh-CN" w:bidi="ar-SA"/>
        </w:rPr>
        <w:t>废水处理工艺流程图</w:t>
      </w:r>
    </w:p>
    <w:p w14:paraId="751840CA">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（二）废气</w:t>
      </w:r>
    </w:p>
    <w:p w14:paraId="50D7F1A4">
      <w:pPr>
        <w:pStyle w:val="6"/>
        <w:spacing w:before="0" w:line="360" w:lineRule="auto"/>
        <w:ind w:firstLine="48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废气处理设施详见下表。</w:t>
      </w:r>
    </w:p>
    <w:p w14:paraId="116320B1">
      <w:pPr>
        <w:pStyle w:val="28"/>
        <w:spacing w:line="360" w:lineRule="auto"/>
        <w:ind w:firstLine="482" w:firstLineChars="200"/>
        <w:jc w:val="center"/>
        <w:rPr>
          <w:rFonts w:hint="eastAsia" w:ascii="Times New Roman" w:hAnsi="Times New Roman" w:eastAsia="宋体" w:cs="Times New Roman"/>
          <w:b/>
          <w:color w:val="auto"/>
          <w:kern w:val="2"/>
          <w:sz w:val="24"/>
          <w:szCs w:val="24"/>
          <w:u w:val="single" w:color="FFFFFF"/>
          <w:lang w:val="en-US" w:eastAsia="zh-CN" w:bidi="ar-SA"/>
        </w:rPr>
      </w:pPr>
      <w:r>
        <w:rPr>
          <w:rFonts w:hint="eastAsia" w:ascii="Times New Roman" w:hAnsi="Times New Roman" w:eastAsia="宋体" w:cs="Times New Roman"/>
          <w:b/>
          <w:color w:val="auto"/>
          <w:kern w:val="2"/>
          <w:sz w:val="24"/>
          <w:szCs w:val="24"/>
          <w:u w:val="single" w:color="FFFFFF"/>
          <w:lang w:val="en-US" w:eastAsia="zh-CN" w:bidi="ar-SA"/>
        </w:rPr>
        <w:t>表</w:t>
      </w:r>
      <w:r>
        <w:rPr>
          <w:rFonts w:hint="eastAsia" w:ascii="Times New Roman" w:eastAsia="宋体" w:cs="Times New Roman"/>
          <w:b/>
          <w:color w:val="auto"/>
          <w:kern w:val="2"/>
          <w:sz w:val="24"/>
          <w:szCs w:val="24"/>
          <w:u w:val="single" w:color="FFFFFF"/>
          <w:lang w:val="en-US" w:eastAsia="zh-CN" w:bidi="ar-SA"/>
        </w:rPr>
        <w:t>2</w:t>
      </w:r>
      <w:r>
        <w:rPr>
          <w:rFonts w:hint="eastAsia" w:ascii="Times New Roman" w:hAnsi="Times New Roman" w:eastAsia="宋体" w:cs="Times New Roman"/>
          <w:b/>
          <w:color w:val="auto"/>
          <w:kern w:val="2"/>
          <w:sz w:val="24"/>
          <w:szCs w:val="24"/>
          <w:u w:val="single" w:color="FFFFFF"/>
          <w:lang w:val="en-US" w:eastAsia="zh-CN" w:bidi="ar-SA"/>
        </w:rPr>
        <w:t xml:space="preserve"> 废气处理措施一览表</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9"/>
        <w:gridCol w:w="2521"/>
        <w:gridCol w:w="2689"/>
      </w:tblGrid>
      <w:tr w14:paraId="56AD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2" w:type="pct"/>
            <w:vAlign w:val="center"/>
          </w:tcPr>
          <w:p w14:paraId="44916626">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污染源</w:t>
            </w:r>
          </w:p>
        </w:tc>
        <w:tc>
          <w:tcPr>
            <w:tcW w:w="1479" w:type="pct"/>
            <w:vAlign w:val="center"/>
          </w:tcPr>
          <w:p w14:paraId="0810CFA1">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污染因子</w:t>
            </w:r>
          </w:p>
        </w:tc>
        <w:tc>
          <w:tcPr>
            <w:tcW w:w="1578" w:type="pct"/>
            <w:vAlign w:val="center"/>
          </w:tcPr>
          <w:p w14:paraId="4135C9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cs="Times New Roman" w:eastAsiaTheme="minorEastAsia"/>
                <w:bCs/>
                <w:snapToGrid w:val="0"/>
                <w:color w:val="auto"/>
                <w:kern w:val="0"/>
                <w:sz w:val="21"/>
                <w:szCs w:val="21"/>
                <w:lang w:val="en-US" w:eastAsia="zh-CN" w:bidi="ar-SA"/>
              </w:rPr>
            </w:pPr>
            <w:r>
              <w:rPr>
                <w:rFonts w:hint="default" w:ascii="Times New Roman" w:hAnsi="Times New Roman" w:eastAsia="宋体" w:cs="Times New Roman"/>
                <w:snapToGrid w:val="0"/>
                <w:color w:val="auto"/>
                <w:kern w:val="2"/>
                <w:sz w:val="21"/>
                <w:szCs w:val="21"/>
                <w:lang w:val="en-US" w:eastAsia="zh-CN" w:bidi="ar-SA"/>
              </w:rPr>
              <w:t>实际防治措施</w:t>
            </w:r>
          </w:p>
        </w:tc>
      </w:tr>
      <w:tr w14:paraId="60ED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2" w:type="pct"/>
            <w:vAlign w:val="center"/>
          </w:tcPr>
          <w:p w14:paraId="0CE102D9">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电子材料</w:t>
            </w:r>
            <w:r>
              <w:rPr>
                <w:rFonts w:hint="default" w:ascii="Times New Roman" w:hAnsi="Times New Roman" w:cs="Times New Roman" w:eastAsiaTheme="minorEastAsia"/>
                <w:kern w:val="2"/>
                <w:sz w:val="21"/>
                <w:szCs w:val="21"/>
                <w:lang w:val="en-US" w:eastAsia="zh-CN" w:bidi="ar-SA"/>
              </w:rPr>
              <w:t>工艺废气排放口</w:t>
            </w:r>
            <w:r>
              <w:rPr>
                <w:rFonts w:hint="eastAsia" w:ascii="Times New Roman" w:hAnsi="Times New Roman" w:cs="Times New Roman" w:eastAsiaTheme="minorEastAsia"/>
                <w:kern w:val="2"/>
                <w:sz w:val="21"/>
                <w:szCs w:val="21"/>
                <w:lang w:val="en-US" w:eastAsia="zh-CN" w:bidi="ar-SA"/>
              </w:rPr>
              <w:t>（DA006）</w:t>
            </w:r>
          </w:p>
        </w:tc>
        <w:tc>
          <w:tcPr>
            <w:tcW w:w="1479" w:type="pct"/>
            <w:vAlign w:val="center"/>
          </w:tcPr>
          <w:p w14:paraId="7AA93792">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outlineLvl w:val="5"/>
              <w:rPr>
                <w:rFonts w:hint="default" w:ascii="Times New Roman" w:hAnsi="Times New Roman" w:cs="Times New Roman" w:eastAsiaTheme="minorEastAsia"/>
                <w:b/>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非甲烷总烃</w:t>
            </w:r>
          </w:p>
        </w:tc>
        <w:tc>
          <w:tcPr>
            <w:tcW w:w="1578" w:type="pct"/>
            <w:vAlign w:val="center"/>
          </w:tcPr>
          <w:p w14:paraId="3F84FCC0">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bCs/>
                <w:color w:val="auto"/>
                <w:kern w:val="0"/>
                <w:sz w:val="21"/>
                <w:szCs w:val="21"/>
                <w:lang w:val="en-US" w:eastAsia="zh-CN" w:bidi="ar-SA"/>
              </w:rPr>
            </w:pPr>
            <w:r>
              <w:rPr>
                <w:rFonts w:hint="default" w:ascii="Times New Roman" w:hAnsi="Times New Roman" w:cs="Times New Roman" w:eastAsiaTheme="minorEastAsia"/>
                <w:bCs/>
                <w:kern w:val="2"/>
                <w:sz w:val="21"/>
                <w:szCs w:val="21"/>
                <w:lang w:val="en-US" w:eastAsia="zh-CN" w:bidi="ar-SA"/>
              </w:rPr>
              <w:t>水喷淋+碱喷淋+干燥+一级活性炭吸附</w:t>
            </w:r>
          </w:p>
        </w:tc>
      </w:tr>
      <w:tr w14:paraId="638D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2" w:type="pct"/>
            <w:vAlign w:val="center"/>
          </w:tcPr>
          <w:p w14:paraId="107D56BD">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outlineLvl w:val="5"/>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eastAsia="宋体" w:cs="Times New Roman"/>
                <w:b w:val="0"/>
                <w:bCs/>
                <w:kern w:val="2"/>
                <w:sz w:val="21"/>
                <w:szCs w:val="21"/>
                <w:lang w:val="en-US" w:eastAsia="zh-CN" w:bidi="ar-SA"/>
              </w:rPr>
              <w:t>实验室废气排放口</w:t>
            </w:r>
            <w:r>
              <w:rPr>
                <w:rFonts w:hint="eastAsia" w:ascii="Times New Roman" w:hAnsi="Times New Roman" w:eastAsia="宋体" w:cs="Times New Roman"/>
                <w:b w:val="0"/>
                <w:bCs/>
                <w:kern w:val="2"/>
                <w:sz w:val="21"/>
                <w:szCs w:val="21"/>
                <w:lang w:val="en-US" w:eastAsia="zh-CN" w:bidi="ar-SA"/>
              </w:rPr>
              <w:t>（DA003）</w:t>
            </w:r>
          </w:p>
        </w:tc>
        <w:tc>
          <w:tcPr>
            <w:tcW w:w="1479" w:type="pct"/>
            <w:vAlign w:val="center"/>
          </w:tcPr>
          <w:p w14:paraId="6663931A">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Chars="0"/>
              <w:jc w:val="center"/>
              <w:textAlignment w:val="auto"/>
              <w:rPr>
                <w:rFonts w:hint="default" w:ascii="Times New Roman" w:hAnsi="Times New Roman" w:cs="Times New Roman" w:eastAsiaTheme="minorEastAsia"/>
                <w:bCs/>
                <w:snapToGrid w:val="0"/>
                <w:color w:val="auto"/>
                <w:kern w:val="0"/>
                <w:sz w:val="21"/>
                <w:szCs w:val="21"/>
                <w:lang w:val="en-US" w:eastAsia="zh-CN" w:bidi="ar-SA"/>
              </w:rPr>
            </w:pPr>
            <w:r>
              <w:rPr>
                <w:rFonts w:hint="default" w:ascii="Times New Roman" w:hAnsi="Times New Roman" w:cs="Times New Roman" w:eastAsiaTheme="minorEastAsia"/>
                <w:bCs/>
                <w:snapToGrid w:val="0"/>
                <w:color w:val="auto"/>
                <w:kern w:val="0"/>
                <w:sz w:val="21"/>
                <w:szCs w:val="21"/>
                <w:lang w:val="en-US" w:eastAsia="zh-CN" w:bidi="ar-SA"/>
              </w:rPr>
              <w:t>非甲烷总烃</w:t>
            </w:r>
          </w:p>
        </w:tc>
        <w:tc>
          <w:tcPr>
            <w:tcW w:w="1578" w:type="pct"/>
            <w:vAlign w:val="center"/>
          </w:tcPr>
          <w:p w14:paraId="0FC27976">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bCs/>
                <w:snapToGrid w:val="0"/>
                <w:color w:val="auto"/>
                <w:kern w:val="0"/>
                <w:sz w:val="21"/>
                <w:szCs w:val="21"/>
                <w:lang w:val="en-US" w:eastAsia="zh-CN" w:bidi="ar-SA"/>
              </w:rPr>
            </w:pPr>
            <w:r>
              <w:rPr>
                <w:rFonts w:hint="default" w:ascii="Times New Roman" w:hAnsi="Times New Roman" w:cs="Times New Roman" w:eastAsiaTheme="minorEastAsia"/>
                <w:bCs/>
                <w:snapToGrid w:val="0"/>
                <w:color w:val="auto"/>
                <w:kern w:val="0"/>
                <w:sz w:val="21"/>
                <w:szCs w:val="21"/>
                <w:lang w:val="en-US" w:eastAsia="zh-CN" w:bidi="ar-SA"/>
              </w:rPr>
              <w:t>二级活性炭吸附</w:t>
            </w:r>
          </w:p>
        </w:tc>
      </w:tr>
      <w:tr w14:paraId="331F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2" w:type="pct"/>
            <w:vAlign w:val="center"/>
          </w:tcPr>
          <w:p w14:paraId="14BEBE97">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outlineLvl w:val="5"/>
              <w:rPr>
                <w:rFonts w:hint="default" w:ascii="Times New Roman" w:hAnsi="Times New Roman" w:cs="Times New Roman" w:eastAsiaTheme="minorEastAsia"/>
                <w:b/>
                <w:bCs/>
                <w:color w:val="auto"/>
                <w:kern w:val="0"/>
                <w:sz w:val="21"/>
                <w:szCs w:val="21"/>
                <w:lang w:val="en-US" w:eastAsia="zh-CN" w:bidi="ar-SA"/>
              </w:rPr>
            </w:pPr>
            <w:r>
              <w:rPr>
                <w:rFonts w:hint="default" w:ascii="Times New Roman" w:hAnsi="Times New Roman" w:eastAsia="宋体" w:cs="Times New Roman"/>
                <w:b w:val="0"/>
                <w:bCs/>
                <w:kern w:val="2"/>
                <w:sz w:val="21"/>
                <w:szCs w:val="21"/>
                <w:lang w:val="en-US" w:eastAsia="zh-CN" w:bidi="ar-SA"/>
              </w:rPr>
              <w:t>危废库废气排放口</w:t>
            </w:r>
            <w:r>
              <w:rPr>
                <w:rFonts w:hint="eastAsia" w:ascii="Times New Roman" w:hAnsi="Times New Roman" w:eastAsia="宋体" w:cs="Times New Roman"/>
                <w:b w:val="0"/>
                <w:bCs/>
                <w:kern w:val="2"/>
                <w:sz w:val="21"/>
                <w:szCs w:val="21"/>
                <w:lang w:val="en-US" w:eastAsia="zh-CN" w:bidi="ar-SA"/>
              </w:rPr>
              <w:t>（DA002）</w:t>
            </w:r>
          </w:p>
        </w:tc>
        <w:tc>
          <w:tcPr>
            <w:tcW w:w="1479" w:type="pct"/>
            <w:vAlign w:val="center"/>
          </w:tcPr>
          <w:p w14:paraId="6B944A7C">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Chars="0"/>
              <w:jc w:val="center"/>
              <w:textAlignment w:val="auto"/>
              <w:rPr>
                <w:rFonts w:hint="default" w:ascii="Times New Roman" w:hAnsi="Times New Roman" w:cs="Times New Roman" w:eastAsiaTheme="minorEastAsia"/>
                <w:bCs/>
                <w:snapToGrid w:val="0"/>
                <w:color w:val="auto"/>
                <w:kern w:val="0"/>
                <w:sz w:val="21"/>
                <w:szCs w:val="21"/>
                <w:lang w:val="en-US" w:eastAsia="zh-CN" w:bidi="ar-SA"/>
              </w:rPr>
            </w:pPr>
            <w:r>
              <w:rPr>
                <w:rFonts w:hint="default" w:ascii="Times New Roman" w:hAnsi="Times New Roman" w:cs="Times New Roman" w:eastAsiaTheme="minorEastAsia"/>
                <w:bCs/>
                <w:snapToGrid w:val="0"/>
                <w:color w:val="auto"/>
                <w:kern w:val="0"/>
                <w:sz w:val="21"/>
                <w:szCs w:val="21"/>
                <w:lang w:val="en-US" w:eastAsia="zh-CN" w:bidi="ar-SA"/>
              </w:rPr>
              <w:t>非甲烷总烃</w:t>
            </w:r>
          </w:p>
        </w:tc>
        <w:tc>
          <w:tcPr>
            <w:tcW w:w="1578" w:type="pct"/>
            <w:vAlign w:val="center"/>
          </w:tcPr>
          <w:p w14:paraId="73E87FDE">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bCs/>
                <w:snapToGrid w:val="0"/>
                <w:color w:val="auto"/>
                <w:kern w:val="0"/>
                <w:sz w:val="21"/>
                <w:szCs w:val="21"/>
                <w:lang w:val="en-US" w:eastAsia="zh-CN" w:bidi="ar-SA"/>
              </w:rPr>
            </w:pPr>
            <w:r>
              <w:rPr>
                <w:rFonts w:hint="default" w:ascii="Times New Roman" w:hAnsi="Times New Roman" w:cs="Times New Roman" w:eastAsiaTheme="minorEastAsia"/>
                <w:bCs/>
                <w:snapToGrid w:val="0"/>
                <w:color w:val="auto"/>
                <w:kern w:val="0"/>
                <w:sz w:val="21"/>
                <w:szCs w:val="21"/>
                <w:lang w:val="en-US" w:eastAsia="zh-CN" w:bidi="ar-SA"/>
              </w:rPr>
              <w:t>二级活性炭吸附</w:t>
            </w:r>
          </w:p>
        </w:tc>
      </w:tr>
      <w:tr w14:paraId="4336C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2" w:type="pct"/>
            <w:vAlign w:val="center"/>
          </w:tcPr>
          <w:p w14:paraId="776D5FDC">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生产废气（无组织）</w:t>
            </w:r>
          </w:p>
        </w:tc>
        <w:tc>
          <w:tcPr>
            <w:tcW w:w="1479" w:type="pct"/>
            <w:vAlign w:val="center"/>
          </w:tcPr>
          <w:p w14:paraId="20098E6E">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非甲烷总烃、颗粒物</w:t>
            </w:r>
            <w:r>
              <w:rPr>
                <w:rFonts w:hint="eastAsia" w:ascii="Times New Roman" w:hAnsi="Times New Roman" w:cs="Times New Roman" w:eastAsiaTheme="minorEastAsia"/>
                <w:kern w:val="2"/>
                <w:sz w:val="21"/>
                <w:szCs w:val="21"/>
                <w:lang w:val="en-US" w:eastAsia="zh-CN" w:bidi="ar-SA"/>
              </w:rPr>
              <w:t>、氨、硫化氢、臭气浓度</w:t>
            </w:r>
          </w:p>
        </w:tc>
        <w:tc>
          <w:tcPr>
            <w:tcW w:w="1578" w:type="pct"/>
            <w:vMerge w:val="restart"/>
            <w:vAlign w:val="center"/>
          </w:tcPr>
          <w:p w14:paraId="628D5371">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eastAsiaTheme="minorEastAsia"/>
                <w:bCs/>
                <w:color w:val="auto"/>
                <w:kern w:val="0"/>
                <w:sz w:val="21"/>
                <w:szCs w:val="21"/>
                <w:highlight w:val="none"/>
                <w:lang w:val="en-US" w:eastAsia="zh-CN" w:bidi="ar-SA"/>
              </w:rPr>
            </w:pPr>
            <w:r>
              <w:rPr>
                <w:rFonts w:hint="default" w:ascii="Times New Roman" w:hAnsi="Times New Roman" w:cs="Times New Roman" w:eastAsiaTheme="minorEastAsia"/>
                <w:bCs/>
                <w:kern w:val="2"/>
                <w:sz w:val="21"/>
                <w:szCs w:val="21"/>
                <w:lang w:val="en-US" w:eastAsia="zh-CN" w:bidi="ar-SA"/>
              </w:rPr>
              <w:t>PE过滤器、过滤棉、加强车间机械排风和自然通风</w:t>
            </w:r>
          </w:p>
        </w:tc>
      </w:tr>
      <w:tr w14:paraId="7C17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2" w:type="pct"/>
            <w:vAlign w:val="center"/>
          </w:tcPr>
          <w:p w14:paraId="2B6D0F69">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厂内无组织</w:t>
            </w:r>
          </w:p>
        </w:tc>
        <w:tc>
          <w:tcPr>
            <w:tcW w:w="1479" w:type="pct"/>
            <w:vAlign w:val="center"/>
          </w:tcPr>
          <w:p w14:paraId="4DCC79E0">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非甲烷总烃</w:t>
            </w:r>
          </w:p>
        </w:tc>
        <w:tc>
          <w:tcPr>
            <w:tcW w:w="1578" w:type="pct"/>
            <w:vMerge w:val="continue"/>
            <w:vAlign w:val="center"/>
          </w:tcPr>
          <w:p w14:paraId="33C090E7">
            <w:pPr>
              <w:keepNext w:val="0"/>
              <w:keepLines w:val="0"/>
              <w:pageBreakBefore w:val="0"/>
              <w:widowControl w:val="0"/>
              <w:suppressLineNumbers w:val="0"/>
              <w:kinsoku/>
              <w:wordWrap/>
              <w:overflowPunct/>
              <w:topLinePunct w:val="0"/>
              <w:bidi w:val="0"/>
              <w:adjustRightInd/>
              <w:snapToGrid/>
              <w:spacing w:before="0" w:beforeAutospacing="0" w:after="0" w:afterAutospacing="0" w:line="240" w:lineRule="auto"/>
              <w:ind w:left="0" w:right="0" w:firstLineChars="0"/>
              <w:jc w:val="center"/>
              <w:textAlignment w:val="auto"/>
              <w:rPr>
                <w:rFonts w:hint="default" w:ascii="Times New Roman" w:hAnsi="Times New Roman" w:cs="Times New Roman" w:eastAsiaTheme="minorEastAsia"/>
                <w:bCs/>
                <w:snapToGrid w:val="0"/>
                <w:color w:val="auto"/>
                <w:kern w:val="0"/>
                <w:sz w:val="21"/>
                <w:szCs w:val="21"/>
                <w:highlight w:val="none"/>
                <w:lang w:val="en-US" w:eastAsia="zh-CN" w:bidi="ar-SA"/>
              </w:rPr>
            </w:pPr>
          </w:p>
        </w:tc>
      </w:tr>
    </w:tbl>
    <w:p w14:paraId="443E1726">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（三）噪声</w:t>
      </w:r>
    </w:p>
    <w:p w14:paraId="4EF84D43">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val="en-US" w:eastAsia="zh-CN"/>
        </w:rPr>
        <w:t>项目噪声主要为机械设备运行时产生的噪声，</w:t>
      </w:r>
      <w:r>
        <w:rPr>
          <w:rFonts w:hint="eastAsia" w:cs="Times New Roman"/>
          <w:sz w:val="24"/>
          <w:szCs w:val="24"/>
          <w:highlight w:val="none"/>
          <w:lang w:val="en-US" w:eastAsia="zh-CN"/>
        </w:rPr>
        <w:t>项目</w:t>
      </w:r>
      <w:r>
        <w:rPr>
          <w:rFonts w:hint="default" w:ascii="Times New Roman" w:hAnsi="Times New Roman" w:eastAsia="宋体" w:cs="Times New Roman"/>
          <w:sz w:val="24"/>
          <w:szCs w:val="24"/>
          <w:highlight w:val="none"/>
          <w:lang w:val="en-US" w:eastAsia="zh-CN"/>
        </w:rPr>
        <w:t>对各类产噪设备进行合理布局、高噪声设备加装减振基础，减少噪声外扬、加强设备保养，确保正常运行</w:t>
      </w:r>
      <w:r>
        <w:rPr>
          <w:rFonts w:hint="eastAsia" w:ascii="Times New Roman" w:hAnsi="Times New Roman" w:eastAsia="宋体" w:cs="Times New Roman"/>
          <w:sz w:val="24"/>
          <w:szCs w:val="24"/>
          <w:highlight w:val="none"/>
          <w:lang w:eastAsia="zh-CN"/>
        </w:rPr>
        <w:t>。</w:t>
      </w:r>
    </w:p>
    <w:p w14:paraId="34E837EB">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（四）固体废物</w:t>
      </w:r>
    </w:p>
    <w:p w14:paraId="1697A82C">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职工生活垃圾收集后统一交由环卫部门处理；</w:t>
      </w:r>
      <w:r>
        <w:rPr>
          <w:rFonts w:hint="eastAsia" w:ascii="Times New Roman" w:hAnsi="Times New Roman" w:eastAsia="宋体" w:cs="Times New Roman"/>
          <w:sz w:val="24"/>
          <w:szCs w:val="24"/>
          <w:highlight w:val="none"/>
          <w:lang w:val="en-US" w:eastAsia="zh-CN"/>
        </w:rPr>
        <w:t>生活垃圾由当地环卫部门统一清运处置，危险废物收集后储存于危废暂存库，并委托安徽省创美环保科技有限公司处置。</w:t>
      </w:r>
    </w:p>
    <w:p w14:paraId="395DF4D3">
      <w:pPr>
        <w:pStyle w:val="26"/>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四、环境保护设施调试效果</w:t>
      </w:r>
    </w:p>
    <w:p w14:paraId="11D322F3">
      <w:pPr>
        <w:widowControl w:val="0"/>
        <w:spacing w:before="0"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（1）废水</w:t>
      </w:r>
    </w:p>
    <w:p w14:paraId="19FD8EC9">
      <w:pPr>
        <w:widowControl w:val="0"/>
        <w:spacing w:before="0" w:line="360" w:lineRule="auto"/>
        <w:ind w:firstLine="480" w:firstLineChars="200"/>
        <w:jc w:val="both"/>
        <w:rPr>
          <w:rFonts w:hint="default"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根据本次验收检测，</w:t>
      </w:r>
      <w:r>
        <w:rPr>
          <w:rFonts w:hint="default" w:ascii="Times New Roman" w:hAnsi="Times New Roman" w:eastAsia="宋体" w:cs="Times New Roman"/>
          <w:kern w:val="2"/>
          <w:sz w:val="24"/>
          <w:szCs w:val="24"/>
          <w:highlight w:val="none"/>
          <w:lang w:val="en-US" w:eastAsia="zh-CN" w:bidi="ar-SA"/>
        </w:rPr>
        <w:t>废水经厂区污水站处理</w:t>
      </w:r>
      <w:r>
        <w:rPr>
          <w:rFonts w:hint="eastAsia" w:ascii="Times New Roman" w:hAnsi="Times New Roman" w:eastAsia="宋体" w:cs="Times New Roman"/>
          <w:kern w:val="2"/>
          <w:sz w:val="24"/>
          <w:szCs w:val="24"/>
          <w:highlight w:val="none"/>
          <w:lang w:val="en-US" w:eastAsia="zh-CN" w:bidi="ar-SA"/>
        </w:rPr>
        <w:t>后，废水满足与</w:t>
      </w:r>
      <w:r>
        <w:rPr>
          <w:rFonts w:hint="default" w:ascii="Times New Roman" w:hAnsi="Times New Roman" w:eastAsia="宋体" w:cs="Times New Roman"/>
          <w:kern w:val="2"/>
          <w:sz w:val="24"/>
          <w:szCs w:val="24"/>
          <w:highlight w:val="none"/>
          <w:lang w:val="en-US" w:eastAsia="zh-CN" w:bidi="ar-SA"/>
        </w:rPr>
        <w:t>安庆亚同城西污水厂</w:t>
      </w:r>
      <w:r>
        <w:rPr>
          <w:rFonts w:hint="eastAsia" w:ascii="Times New Roman" w:hAnsi="Times New Roman" w:eastAsia="宋体" w:cs="Times New Roman"/>
          <w:kern w:val="2"/>
          <w:sz w:val="24"/>
          <w:szCs w:val="24"/>
          <w:highlight w:val="none"/>
          <w:lang w:val="en-US" w:eastAsia="zh-CN" w:bidi="ar-SA"/>
        </w:rPr>
        <w:t>的</w:t>
      </w:r>
      <w:r>
        <w:rPr>
          <w:rFonts w:hint="default" w:ascii="Times New Roman" w:hAnsi="Times New Roman" w:eastAsia="宋体" w:cs="Times New Roman"/>
          <w:kern w:val="2"/>
          <w:sz w:val="24"/>
          <w:szCs w:val="24"/>
          <w:highlight w:val="none"/>
          <w:lang w:val="en-US" w:eastAsia="zh-CN" w:bidi="ar-SA"/>
        </w:rPr>
        <w:t>接管协议标准值。</w:t>
      </w:r>
    </w:p>
    <w:p w14:paraId="53D649B3">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cs="Times New Roman"/>
          <w:sz w:val="24"/>
          <w:szCs w:val="24"/>
          <w:highlight w:val="none"/>
          <w:lang w:val="en-US" w:eastAsia="zh-CN"/>
        </w:rPr>
        <w:t>2</w:t>
      </w:r>
      <w:r>
        <w:rPr>
          <w:rFonts w:hint="eastAsia" w:ascii="Times New Roman" w:hAnsi="Times New Roman" w:eastAsia="宋体" w:cs="Times New Roman"/>
          <w:sz w:val="24"/>
          <w:szCs w:val="24"/>
          <w:highlight w:val="none"/>
          <w:lang w:eastAsia="zh-CN"/>
        </w:rPr>
        <w:t>）废气</w:t>
      </w:r>
    </w:p>
    <w:p w14:paraId="1B8C04F6">
      <w:pPr>
        <w:widowControl/>
        <w:adjustRightInd w:val="0"/>
        <w:snapToGrid w:val="0"/>
        <w:spacing w:line="360" w:lineRule="auto"/>
        <w:ind w:firstLine="480" w:firstLineChars="200"/>
        <w:jc w:val="both"/>
        <w:rPr>
          <w:rFonts w:hint="eastAsia" w:ascii="Times New Roman" w:hAnsi="Times New Roman" w:eastAsia="宋体" w:cs="Times New Roman"/>
          <w:sz w:val="24"/>
          <w:szCs w:val="24"/>
          <w:highlight w:val="none"/>
          <w:lang w:val="en-US" w:eastAsia="zh-CN"/>
        </w:rPr>
      </w:pPr>
      <w:bookmarkStart w:id="0" w:name="_Hlk35549413"/>
      <w:r>
        <w:rPr>
          <w:rFonts w:hint="eastAsia" w:ascii="Times New Roman" w:hAnsi="Times New Roman" w:eastAsia="宋体" w:cs="Times New Roman"/>
          <w:sz w:val="24"/>
          <w:szCs w:val="24"/>
          <w:highlight w:val="none"/>
          <w:lang w:val="en-US" w:eastAsia="zh-CN"/>
        </w:rPr>
        <w:t>根据本次竣工验收检测，</w:t>
      </w:r>
      <w:r>
        <w:rPr>
          <w:rFonts w:hint="eastAsia" w:ascii="宋体" w:hAnsi="宋体" w:eastAsia="宋体" w:cs="宋体"/>
          <w:kern w:val="0"/>
          <w:sz w:val="24"/>
          <w:szCs w:val="24"/>
          <w:lang w:val="en-US" w:eastAsia="zh-CN" w:bidi="ar"/>
        </w:rPr>
        <w:t>工艺废气满足《固定源挥发性有机物综合排放标准第</w:t>
      </w:r>
      <w:r>
        <w:rPr>
          <w:rFonts w:hint="default" w:ascii="Times New Roman" w:hAnsi="Times New Roman" w:eastAsia="宋体" w:cs="Times New Roman"/>
          <w:kern w:val="0"/>
          <w:sz w:val="24"/>
          <w:szCs w:val="24"/>
          <w:lang w:val="en-US" w:eastAsia="zh-CN" w:bidi="ar"/>
        </w:rPr>
        <w:t>5</w:t>
      </w:r>
      <w:r>
        <w:rPr>
          <w:rFonts w:hint="eastAsia" w:ascii="宋体" w:hAnsi="宋体" w:eastAsia="宋体" w:cs="宋体"/>
          <w:kern w:val="0"/>
          <w:sz w:val="24"/>
          <w:szCs w:val="24"/>
          <w:lang w:val="en-US" w:eastAsia="zh-CN" w:bidi="ar"/>
        </w:rPr>
        <w:t>部分：电子工业》（</w:t>
      </w:r>
      <w:r>
        <w:rPr>
          <w:rFonts w:hint="default" w:ascii="Times New Roman" w:hAnsi="Times New Roman" w:eastAsia="宋体" w:cs="Times New Roman"/>
          <w:kern w:val="0"/>
          <w:sz w:val="24"/>
          <w:szCs w:val="24"/>
          <w:lang w:val="en-US" w:eastAsia="zh-CN" w:bidi="ar"/>
        </w:rPr>
        <w:t>DB34/4812.5-2024</w:t>
      </w:r>
      <w:r>
        <w:rPr>
          <w:rFonts w:hint="eastAsia" w:ascii="宋体" w:hAnsi="宋体" w:eastAsia="宋体" w:cs="宋体"/>
          <w:kern w:val="0"/>
          <w:sz w:val="24"/>
          <w:szCs w:val="24"/>
          <w:lang w:val="en-US" w:eastAsia="zh-CN" w:bidi="ar"/>
        </w:rPr>
        <w:t>）；</w:t>
      </w:r>
      <w:r>
        <w:rPr>
          <w:rFonts w:hint="eastAsia" w:ascii="Times New Roman" w:hAnsi="Times New Roman" w:eastAsia="宋体" w:cs="Times New Roman"/>
          <w:kern w:val="0"/>
          <w:sz w:val="24"/>
          <w:szCs w:val="24"/>
          <w:lang w:val="en-US" w:eastAsia="zh-CN" w:bidi="ar"/>
        </w:rPr>
        <w:t>危废库及实验室产生的有机废气满足</w:t>
      </w:r>
      <w:r>
        <w:rPr>
          <w:rFonts w:hint="eastAsia" w:ascii="Times New Roman" w:hAnsi="Times New Roman" w:eastAsia="宋体" w:cs="Times New Roman"/>
          <w:sz w:val="24"/>
          <w:szCs w:val="24"/>
          <w:lang w:val="en-US" w:eastAsia="zh-CN" w:bidi="ar-SA"/>
        </w:rPr>
        <w:t>安徽省地方标准《固定源挥发性有机物综合排放标准第</w:t>
      </w:r>
      <w:r>
        <w:rPr>
          <w:rFonts w:hint="default" w:ascii="Times New Roman" w:hAnsi="Times New Roman" w:eastAsia="宋体" w:cs="Times New Roman"/>
          <w:sz w:val="24"/>
          <w:szCs w:val="24"/>
          <w:lang w:val="en-US" w:eastAsia="zh-CN" w:bidi="ar-SA"/>
        </w:rPr>
        <w:t>3</w:t>
      </w:r>
      <w:r>
        <w:rPr>
          <w:rFonts w:hint="eastAsia" w:ascii="Times New Roman" w:hAnsi="Times New Roman" w:eastAsia="宋体" w:cs="Times New Roman"/>
          <w:sz w:val="24"/>
          <w:szCs w:val="24"/>
          <w:lang w:val="en-US" w:eastAsia="zh-CN" w:bidi="ar-SA"/>
        </w:rPr>
        <w:t>部分：有机化学品制造工业》（</w:t>
      </w:r>
      <w:r>
        <w:rPr>
          <w:rFonts w:hint="default" w:ascii="Times New Roman" w:hAnsi="Times New Roman" w:eastAsia="宋体" w:cs="Times New Roman"/>
          <w:sz w:val="24"/>
          <w:szCs w:val="24"/>
          <w:lang w:val="en-US" w:eastAsia="zh-CN" w:bidi="ar-SA"/>
        </w:rPr>
        <w:t>DB34/4812.3-2024</w:t>
      </w:r>
      <w:r>
        <w:rPr>
          <w:rFonts w:hint="eastAsia" w:ascii="Times New Roman" w:hAnsi="Times New Roman" w:eastAsia="宋体" w:cs="Times New Roman"/>
          <w:sz w:val="24"/>
          <w:szCs w:val="24"/>
          <w:lang w:val="en-US" w:eastAsia="zh-CN" w:bidi="ar-SA"/>
        </w:rPr>
        <w:t>）；</w:t>
      </w:r>
      <w:r>
        <w:rPr>
          <w:rFonts w:hint="default" w:ascii="Times New Roman" w:hAnsi="Times New Roman" w:eastAsia="宋体" w:cs="Times New Roman"/>
          <w:kern w:val="0"/>
          <w:sz w:val="24"/>
          <w:szCs w:val="24"/>
          <w:lang w:val="en-US" w:eastAsia="zh-CN" w:bidi="ar"/>
        </w:rPr>
        <w:t>厂界颗粒物、非甲烷总烃无组织废气</w:t>
      </w:r>
      <w:r>
        <w:rPr>
          <w:rFonts w:hint="eastAsia" w:ascii="Times New Roman" w:hAnsi="Times New Roman" w:eastAsia="宋体" w:cs="Times New Roman"/>
          <w:kern w:val="0"/>
          <w:sz w:val="24"/>
          <w:szCs w:val="24"/>
          <w:lang w:val="en-US" w:eastAsia="zh-CN" w:bidi="ar"/>
        </w:rPr>
        <w:t>满足</w:t>
      </w:r>
      <w:r>
        <w:rPr>
          <w:rFonts w:hint="default" w:ascii="Times New Roman" w:hAnsi="Times New Roman" w:eastAsia="宋体" w:cs="Times New Roman"/>
          <w:kern w:val="0"/>
          <w:sz w:val="24"/>
          <w:szCs w:val="24"/>
          <w:lang w:val="en-US" w:eastAsia="zh-CN" w:bidi="ar"/>
        </w:rPr>
        <w:t>《石油化学工业污染物排放标准》（GB 31571-2015）</w:t>
      </w:r>
      <w:r>
        <w:rPr>
          <w:rFonts w:hint="eastAsia" w:ascii="Times New Roman" w:hAnsi="Times New Roman" w:eastAsia="宋体" w:cs="Times New Roman"/>
          <w:kern w:val="0"/>
          <w:sz w:val="24"/>
          <w:szCs w:val="24"/>
          <w:lang w:val="en-US" w:eastAsia="zh-CN" w:bidi="ar"/>
        </w:rPr>
        <w:t>；氨、硫化氢、臭气浓度满足《</w:t>
      </w:r>
      <w:r>
        <w:rPr>
          <w:rFonts w:hint="default" w:ascii="Times New Roman" w:hAnsi="Times New Roman" w:eastAsia="宋体" w:cs="Times New Roman"/>
          <w:kern w:val="0"/>
          <w:sz w:val="24"/>
          <w:szCs w:val="24"/>
          <w:lang w:val="en-US" w:eastAsia="zh-CN" w:bidi="ar"/>
        </w:rPr>
        <w:t>恶臭污染物排放标准</w:t>
      </w:r>
      <w:r>
        <w:rPr>
          <w:rFonts w:hint="eastAsia" w:ascii="Times New Roman" w:hAnsi="Times New Roman" w:eastAsia="宋体" w:cs="Times New Roman"/>
          <w:kern w:val="0"/>
          <w:sz w:val="24"/>
          <w:szCs w:val="24"/>
          <w:lang w:val="en-US" w:eastAsia="zh-CN" w:bidi="ar"/>
        </w:rPr>
        <w:t>》（</w:t>
      </w:r>
      <w:r>
        <w:rPr>
          <w:rFonts w:hint="default" w:ascii="Times New Roman" w:hAnsi="Times New Roman" w:eastAsia="宋体" w:cs="Times New Roman"/>
          <w:kern w:val="0"/>
          <w:sz w:val="24"/>
          <w:szCs w:val="24"/>
          <w:lang w:val="en-US" w:eastAsia="zh-CN" w:bidi="ar"/>
        </w:rPr>
        <w:t>GB 14554-93</w:t>
      </w:r>
      <w:r>
        <w:rPr>
          <w:rFonts w:hint="eastAsia" w:ascii="Times New Roman" w:hAnsi="Times New Roman" w:eastAsia="宋体" w:cs="Times New Roman"/>
          <w:kern w:val="0"/>
          <w:sz w:val="24"/>
          <w:szCs w:val="24"/>
          <w:lang w:val="en-US" w:eastAsia="zh-CN" w:bidi="ar"/>
        </w:rPr>
        <w:t>）；</w:t>
      </w:r>
      <w:r>
        <w:rPr>
          <w:rFonts w:hint="eastAsia" w:ascii="宋体" w:hAnsi="宋体" w:eastAsia="宋体" w:cs="宋体"/>
          <w:kern w:val="0"/>
          <w:sz w:val="24"/>
          <w:szCs w:val="24"/>
          <w:lang w:val="en-US" w:eastAsia="zh-CN" w:bidi="ar"/>
        </w:rPr>
        <w:t>厂区内非甲烷总烃无组织排放满足《固定源挥发性有机物综合排放标准第</w:t>
      </w:r>
      <w:r>
        <w:rPr>
          <w:rFonts w:hint="default" w:ascii="Times New Roman" w:hAnsi="Times New Roman" w:eastAsia="宋体" w:cs="Times New Roman"/>
          <w:kern w:val="0"/>
          <w:sz w:val="24"/>
          <w:szCs w:val="24"/>
          <w:lang w:val="en-US" w:eastAsia="zh-CN" w:bidi="ar"/>
        </w:rPr>
        <w:t>5</w:t>
      </w:r>
      <w:r>
        <w:rPr>
          <w:rFonts w:hint="eastAsia" w:ascii="宋体" w:hAnsi="宋体" w:eastAsia="宋体" w:cs="宋体"/>
          <w:kern w:val="0"/>
          <w:sz w:val="24"/>
          <w:szCs w:val="24"/>
          <w:lang w:val="en-US" w:eastAsia="zh-CN" w:bidi="ar"/>
        </w:rPr>
        <w:t>部分：电子工业》（</w:t>
      </w:r>
      <w:r>
        <w:rPr>
          <w:rFonts w:hint="default" w:ascii="Times New Roman" w:hAnsi="Times New Roman" w:eastAsia="宋体" w:cs="Times New Roman"/>
          <w:kern w:val="0"/>
          <w:sz w:val="24"/>
          <w:szCs w:val="24"/>
          <w:lang w:val="en-US" w:eastAsia="zh-CN" w:bidi="ar"/>
        </w:rPr>
        <w:t>DB34/4812.5-2024</w:t>
      </w:r>
      <w:r>
        <w:rPr>
          <w:rFonts w:hint="eastAsia" w:ascii="宋体" w:hAnsi="宋体" w:eastAsia="宋体" w:cs="宋体"/>
          <w:kern w:val="0"/>
          <w:sz w:val="24"/>
          <w:szCs w:val="24"/>
          <w:lang w:val="en-US" w:eastAsia="zh-CN" w:bidi="ar"/>
        </w:rPr>
        <w:t>）</w:t>
      </w:r>
    </w:p>
    <w:p w14:paraId="0D6DABEF">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cs="Times New Roman"/>
          <w:sz w:val="24"/>
          <w:szCs w:val="24"/>
          <w:highlight w:val="none"/>
          <w:lang w:val="en-US" w:eastAsia="zh-CN"/>
        </w:rPr>
        <w:t>3</w:t>
      </w:r>
      <w:r>
        <w:rPr>
          <w:rFonts w:hint="eastAsia" w:ascii="Times New Roman" w:hAnsi="Times New Roman" w:eastAsia="宋体" w:cs="Times New Roman"/>
          <w:sz w:val="24"/>
          <w:szCs w:val="24"/>
          <w:highlight w:val="none"/>
          <w:lang w:eastAsia="zh-CN"/>
        </w:rPr>
        <w:t>）厂界噪声</w:t>
      </w:r>
    </w:p>
    <w:bookmarkEnd w:id="0"/>
    <w:p w14:paraId="1198E78B">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验收监测期间，</w:t>
      </w:r>
      <w:r>
        <w:rPr>
          <w:rFonts w:hint="default" w:ascii="Times New Roman" w:hAnsi="Times New Roman" w:eastAsia="宋体" w:cs="Times New Roman"/>
          <w:kern w:val="0"/>
          <w:sz w:val="24"/>
          <w:szCs w:val="24"/>
          <w:lang w:val="en-US" w:eastAsia="zh-CN" w:bidi="ar"/>
        </w:rPr>
        <w:t>除南侧厂界因施工无法进入未测外，其他厂界昼间和夜间噪声监测结果均未超过《工业企业厂界环境噪声排放标准》（GB12348-2008）中3类区标准限值，为达标排放</w:t>
      </w:r>
      <w:r>
        <w:rPr>
          <w:rFonts w:hint="eastAsia" w:ascii="Times New Roman" w:hAnsi="Times New Roman" w:eastAsia="宋体" w:cs="Times New Roman"/>
          <w:sz w:val="24"/>
          <w:szCs w:val="24"/>
          <w:highlight w:val="none"/>
          <w:lang w:eastAsia="zh-CN"/>
        </w:rPr>
        <w:t>。</w:t>
      </w:r>
    </w:p>
    <w:p w14:paraId="71FD7551">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cs="Times New Roman"/>
          <w:sz w:val="24"/>
          <w:szCs w:val="24"/>
          <w:highlight w:val="none"/>
          <w:lang w:val="en-US" w:eastAsia="zh-CN"/>
        </w:rPr>
        <w:t>4</w:t>
      </w:r>
      <w:r>
        <w:rPr>
          <w:rFonts w:hint="eastAsia" w:ascii="Times New Roman" w:hAnsi="Times New Roman" w:eastAsia="宋体" w:cs="Times New Roman"/>
          <w:sz w:val="24"/>
          <w:szCs w:val="24"/>
          <w:highlight w:val="none"/>
          <w:lang w:eastAsia="zh-CN"/>
        </w:rPr>
        <w:t>）固体废物</w:t>
      </w:r>
    </w:p>
    <w:p w14:paraId="2A43886F">
      <w:pPr>
        <w:spacing w:line="440" w:lineRule="exact"/>
        <w:ind w:firstLine="480" w:firstLineChars="200"/>
        <w:rPr>
          <w:rFonts w:hint="eastAsia" w:asciiTheme="minorHAnsi" w:hAnsiTheme="minorHAnsi" w:eastAsiaTheme="minorEastAsia" w:cstheme="minorBidi"/>
          <w:sz w:val="24"/>
          <w:szCs w:val="24"/>
        </w:rPr>
      </w:pPr>
      <w:r>
        <w:rPr>
          <w:rFonts w:hint="eastAsia" w:asciiTheme="minorHAnsi" w:hAnsiTheme="minorHAnsi" w:eastAsiaTheme="minorEastAsia" w:cstheme="minorBidi"/>
          <w:sz w:val="24"/>
          <w:szCs w:val="24"/>
        </w:rPr>
        <w:t>职工生活垃圾收集后统一交由环卫部门处理；废树脂及反渗透膜、废包材（一般固废）外售给资源回收单位；废包材（危险废物）、实验室废液、实验室清洗废水、废活性炭、废乙腈、废浓缩液、污水处理站污泥、废润滑油交由有资质单位处置。</w:t>
      </w:r>
    </w:p>
    <w:p w14:paraId="0864DEC4">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cs="Times New Roman"/>
          <w:sz w:val="24"/>
          <w:szCs w:val="24"/>
          <w:highlight w:val="none"/>
          <w:lang w:val="en-US" w:eastAsia="zh-CN"/>
        </w:rPr>
        <w:t>5</w:t>
      </w:r>
      <w:r>
        <w:rPr>
          <w:rFonts w:hint="eastAsia" w:ascii="Times New Roman" w:hAnsi="Times New Roman" w:eastAsia="宋体" w:cs="Times New Roman"/>
          <w:sz w:val="24"/>
          <w:szCs w:val="24"/>
          <w:highlight w:val="none"/>
          <w:lang w:eastAsia="zh-CN"/>
        </w:rPr>
        <w:t>）总量控制</w:t>
      </w:r>
    </w:p>
    <w:p w14:paraId="47062123">
      <w:pPr>
        <w:spacing w:line="360" w:lineRule="auto"/>
        <w:ind w:firstLine="480" w:firstLineChars="200"/>
        <w:rPr>
          <w:rFonts w:hint="eastAsia" w:ascii="Times New Roman" w:hAnsi="Times New Roman" w:cs="Times New Roman" w:eastAsiaTheme="minorEastAsia"/>
          <w:sz w:val="24"/>
          <w:szCs w:val="24"/>
          <w:lang w:val="en-US" w:eastAsia="zh-CN"/>
        </w:rPr>
      </w:pPr>
      <w:r>
        <w:rPr>
          <w:rFonts w:ascii="Times New Roman" w:hAnsi="Times New Roman" w:cs="Times New Roman" w:eastAsiaTheme="minorEastAsia"/>
          <w:sz w:val="24"/>
          <w:szCs w:val="24"/>
        </w:rPr>
        <w:t>根据本次验收监测</w:t>
      </w:r>
      <w:r>
        <w:rPr>
          <w:rFonts w:hint="eastAsia"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非甲烷总烃</w:t>
      </w:r>
      <w:r>
        <w:rPr>
          <w:rFonts w:ascii="Times New Roman" w:hAnsi="Times New Roman" w:cs="Times New Roman" w:eastAsiaTheme="minorEastAsia"/>
          <w:sz w:val="24"/>
          <w:szCs w:val="24"/>
        </w:rPr>
        <w:t>排放总量为</w:t>
      </w:r>
      <w:r>
        <w:rPr>
          <w:rFonts w:hint="eastAsia" w:ascii="Times New Roman" w:hAnsi="Times New Roman" w:eastAsia="宋体" w:cs="Times New Roman"/>
          <w:bCs/>
          <w:snapToGrid w:val="0"/>
          <w:kern w:val="0"/>
          <w:sz w:val="24"/>
          <w:szCs w:val="24"/>
          <w:lang w:val="en-US" w:eastAsia="zh-CN"/>
        </w:rPr>
        <w:t>0.439</w:t>
      </w:r>
      <w:r>
        <w:rPr>
          <w:rFonts w:ascii="Times New Roman" w:hAnsi="Times New Roman" w:cs="Times New Roman" w:eastAsiaTheme="minorEastAsia"/>
          <w:sz w:val="24"/>
          <w:szCs w:val="24"/>
        </w:rPr>
        <w:t>t/a</w:t>
      </w:r>
      <w:r>
        <w:rPr>
          <w:rFonts w:hint="eastAsia" w:ascii="Times New Roman" w:hAnsi="Times New Roman" w:cs="Times New Roman" w:eastAsiaTheme="minorEastAsia"/>
          <w:sz w:val="24"/>
          <w:szCs w:val="24"/>
        </w:rPr>
        <w:t>，未超过</w:t>
      </w:r>
      <w:r>
        <w:rPr>
          <w:rFonts w:ascii="Times New Roman" w:hAnsi="Times New Roman" w:cs="Times New Roman" w:eastAsiaTheme="minorEastAsia"/>
          <w:sz w:val="24"/>
          <w:szCs w:val="24"/>
        </w:rPr>
        <w:t>环评核定总量</w:t>
      </w:r>
      <w:r>
        <w:rPr>
          <w:rFonts w:hint="eastAsia" w:ascii="Times New Roman" w:hAnsi="Times New Roman" w:cs="Times New Roman" w:eastAsiaTheme="minorEastAsia"/>
          <w:sz w:val="24"/>
          <w:szCs w:val="24"/>
          <w:lang w:val="en-US" w:eastAsia="zh-CN"/>
        </w:rPr>
        <w:t>32.234</w:t>
      </w:r>
      <w:r>
        <w:rPr>
          <w:rFonts w:ascii="Times New Roman" w:hAnsi="Times New Roman" w:cs="Times New Roman" w:eastAsiaTheme="minorEastAsia"/>
          <w:sz w:val="24"/>
          <w:szCs w:val="24"/>
        </w:rPr>
        <w:t>t/a</w:t>
      </w:r>
      <w:r>
        <w:rPr>
          <w:rFonts w:hint="eastAsia" w:ascii="Times New Roman" w:hAnsi="Times New Roman" w:cs="Times New Roman" w:eastAsiaTheme="minorEastAsia"/>
          <w:sz w:val="24"/>
          <w:szCs w:val="24"/>
          <w:lang w:eastAsia="zh-CN"/>
        </w:rPr>
        <w:t>；</w:t>
      </w:r>
      <w:r>
        <w:rPr>
          <w:rFonts w:hint="eastAsia" w:ascii="Times New Roman" w:hAnsi="Times New Roman" w:cs="Times New Roman" w:eastAsiaTheme="minorEastAsia"/>
          <w:sz w:val="24"/>
          <w:szCs w:val="24"/>
          <w:lang w:val="en-US" w:eastAsia="zh-CN"/>
        </w:rPr>
        <w:t>COD的总量为0.390t/a，未超过环评核定总量的9.714t/a；氨氮的总量为0.887t/a，未超过环评核定总量的0.973t/a。</w:t>
      </w:r>
    </w:p>
    <w:p w14:paraId="7FE17C4A">
      <w:pPr>
        <w:pStyle w:val="26"/>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五、验收结论</w:t>
      </w:r>
    </w:p>
    <w:p w14:paraId="1285423E">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对照《建设项目竣工环境保护验收暂行办法》，本项目不存在《建设项目竣工环境保护验收暂行办法》中所规定的九类验收不合格情形，项目基本具备竣工环境保护验收条件，验收合格。</w:t>
      </w:r>
    </w:p>
    <w:p w14:paraId="691CC781">
      <w:pPr>
        <w:pStyle w:val="26"/>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六</w:t>
      </w:r>
      <w:r>
        <w:rPr>
          <w:rFonts w:hint="eastAsia" w:ascii="宋体" w:hAnsi="宋体" w:eastAsia="宋体" w:cs="宋体"/>
          <w:b/>
          <w:color w:val="auto"/>
          <w:sz w:val="28"/>
          <w:szCs w:val="28"/>
        </w:rPr>
        <w:t>、后续要求</w:t>
      </w:r>
    </w:p>
    <w:p w14:paraId="13C9B260">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1．企业按以上要求完善后并在切实落实项目环评及批复、国家法律法规及相关验收要求基础上，建议通过竣工环境保护验收。</w:t>
      </w:r>
    </w:p>
    <w:p w14:paraId="15371098">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2．企业应进一步完善各项环境保护规章制度和环境保护基础台账、档案及运行记录，制定环保设施操作规程，明确各岗位环保责任，加强环保设施安全管理，强化日常运行监管。</w:t>
      </w:r>
    </w:p>
    <w:p w14:paraId="147E3BDF">
      <w:pPr>
        <w:pStyle w:val="26"/>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七</w:t>
      </w:r>
      <w:r>
        <w:rPr>
          <w:rFonts w:hint="eastAsia" w:ascii="宋体" w:hAnsi="宋体" w:eastAsia="宋体" w:cs="宋体"/>
          <w:b/>
          <w:color w:val="auto"/>
          <w:sz w:val="28"/>
          <w:szCs w:val="28"/>
        </w:rPr>
        <w:t>、验收人员信息</w:t>
      </w:r>
    </w:p>
    <w:p w14:paraId="5966F747">
      <w:pPr>
        <w:pStyle w:val="6"/>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本项目竣工环保验收工作组成员见下表。</w:t>
      </w:r>
    </w:p>
    <w:p w14:paraId="0D9775CC">
      <w:pPr>
        <w:pStyle w:val="29"/>
        <w:keepNext w:val="0"/>
        <w:keepLines w:val="0"/>
        <w:suppressLineNumbers w:val="0"/>
        <w:bidi w:val="0"/>
        <w:spacing w:before="0" w:beforeAutospacing="0" w:after="0" w:afterAutospacing="0"/>
        <w:ind w:left="0" w:right="0"/>
        <w:rPr>
          <w:rFonts w:hint="default" w:ascii="Times New Roman" w:hAnsi="Times New Roman" w:eastAsia="Times New Roman" w:cs="Times New Roman"/>
          <w:bCs/>
          <w:color w:val="auto"/>
          <w:sz w:val="24"/>
          <w:lang w:val="en-US" w:eastAsia="zh-CN"/>
        </w:rPr>
      </w:pPr>
      <w:r>
        <w:rPr>
          <w:rFonts w:hint="default" w:ascii="Times New Roman" w:hAnsi="Times New Roman" w:eastAsia="Times New Roman" w:cs="Times New Roman"/>
          <w:bCs/>
          <w:color w:val="auto"/>
          <w:sz w:val="24"/>
          <w:lang w:val="en-US" w:eastAsia="zh-CN"/>
        </w:rPr>
        <w:t>表</w:t>
      </w:r>
      <w:r>
        <w:rPr>
          <w:rFonts w:hint="default" w:ascii="Times New Roman" w:hAnsi="Times New Roman" w:cs="Times New Roman"/>
          <w:bCs/>
          <w:color w:val="auto"/>
          <w:sz w:val="24"/>
          <w:lang w:val="en-US" w:eastAsia="zh-CN"/>
        </w:rPr>
        <w:t>3</w:t>
      </w:r>
      <w:r>
        <w:rPr>
          <w:rFonts w:hint="default" w:ascii="Times New Roman" w:hAnsi="Times New Roman" w:eastAsia="Times New Roman" w:cs="Times New Roman"/>
          <w:bCs/>
          <w:color w:val="auto"/>
          <w:sz w:val="24"/>
          <w:lang w:val="en-US" w:eastAsia="zh-CN"/>
        </w:rPr>
        <w:t xml:space="preserve">  验收工作组成员一览表</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844"/>
        <w:gridCol w:w="1563"/>
        <w:gridCol w:w="1986"/>
      </w:tblGrid>
      <w:tr w14:paraId="3D3F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2" w:type="pct"/>
            <w:vAlign w:val="center"/>
          </w:tcPr>
          <w:p w14:paraId="1DCD6D27">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姓名</w:t>
            </w:r>
          </w:p>
        </w:tc>
        <w:tc>
          <w:tcPr>
            <w:tcW w:w="2255" w:type="pct"/>
            <w:vAlign w:val="center"/>
          </w:tcPr>
          <w:p w14:paraId="51F78325">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单位</w:t>
            </w:r>
          </w:p>
        </w:tc>
        <w:tc>
          <w:tcPr>
            <w:tcW w:w="917" w:type="pct"/>
            <w:vAlign w:val="center"/>
          </w:tcPr>
          <w:p w14:paraId="10C1499F">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工作组角色</w:t>
            </w:r>
          </w:p>
        </w:tc>
        <w:tc>
          <w:tcPr>
            <w:tcW w:w="1165" w:type="pct"/>
            <w:vAlign w:val="center"/>
          </w:tcPr>
          <w:p w14:paraId="3DB39D5F">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电话</w:t>
            </w:r>
          </w:p>
        </w:tc>
      </w:tr>
      <w:tr w14:paraId="5F96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1A348D48">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cs="Times New Roman" w:eastAsiaTheme="minorEastAsia"/>
                <w:color w:val="auto"/>
                <w:kern w:val="0"/>
                <w:sz w:val="21"/>
                <w:szCs w:val="21"/>
                <w:highlight w:val="white"/>
                <w:lang w:val="en-US" w:eastAsia="zh-CN" w:bidi="ar-SA"/>
              </w:rPr>
              <w:t>胡细干</w:t>
            </w:r>
          </w:p>
        </w:tc>
        <w:tc>
          <w:tcPr>
            <w:tcW w:w="2255" w:type="pct"/>
            <w:vAlign w:val="center"/>
          </w:tcPr>
          <w:p w14:paraId="0F5B62E3">
            <w:pPr>
              <w:autoSpaceDE w:val="0"/>
              <w:autoSpaceDN w:val="0"/>
              <w:adjustRightInd w:val="0"/>
              <w:spacing w:line="360" w:lineRule="auto"/>
              <w:jc w:val="center"/>
              <w:rPr>
                <w:rFonts w:eastAsiaTheme="minorEastAsia"/>
                <w:color w:val="auto"/>
                <w:kern w:val="0"/>
                <w:szCs w:val="21"/>
                <w:highlight w:val="white"/>
                <w:lang w:val="zh-CN"/>
              </w:rPr>
            </w:pPr>
            <w:r>
              <w:rPr>
                <w:rFonts w:hint="eastAsia" w:eastAsiaTheme="minorEastAsia"/>
                <w:color w:val="auto"/>
                <w:kern w:val="0"/>
                <w:szCs w:val="21"/>
                <w:highlight w:val="white"/>
                <w:lang w:val="zh-CN"/>
              </w:rPr>
              <w:t>安庆汇辰科技有限公司</w:t>
            </w:r>
          </w:p>
        </w:tc>
        <w:tc>
          <w:tcPr>
            <w:tcW w:w="917" w:type="pct"/>
            <w:vAlign w:val="center"/>
          </w:tcPr>
          <w:p w14:paraId="6CC12D67">
            <w:pPr>
              <w:autoSpaceDE w:val="0"/>
              <w:autoSpaceDN w:val="0"/>
              <w:adjustRightInd w:val="0"/>
              <w:spacing w:line="360" w:lineRule="auto"/>
              <w:jc w:val="center"/>
              <w:rPr>
                <w:rFonts w:eastAsiaTheme="minorEastAsia"/>
                <w:color w:val="auto"/>
                <w:kern w:val="0"/>
                <w:szCs w:val="21"/>
                <w:highlight w:val="white"/>
                <w:lang w:val="zh-CN"/>
              </w:rPr>
            </w:pPr>
            <w:r>
              <w:rPr>
                <w:rFonts w:hint="eastAsia" w:eastAsiaTheme="minorEastAsia"/>
                <w:color w:val="auto"/>
                <w:kern w:val="0"/>
                <w:szCs w:val="21"/>
                <w:highlight w:val="white"/>
                <w:lang w:val="zh-CN"/>
              </w:rPr>
              <w:t>组长</w:t>
            </w:r>
          </w:p>
        </w:tc>
        <w:tc>
          <w:tcPr>
            <w:tcW w:w="1165" w:type="pct"/>
            <w:vAlign w:val="center"/>
          </w:tcPr>
          <w:p w14:paraId="4F66974C">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18079255788</w:t>
            </w:r>
          </w:p>
        </w:tc>
      </w:tr>
      <w:tr w14:paraId="499A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1993C080">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肖兵</w:t>
            </w:r>
          </w:p>
        </w:tc>
        <w:tc>
          <w:tcPr>
            <w:tcW w:w="2255" w:type="pct"/>
            <w:vAlign w:val="center"/>
          </w:tcPr>
          <w:p w14:paraId="6B83FBEA">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中石化安庆分公司</w:t>
            </w:r>
          </w:p>
        </w:tc>
        <w:tc>
          <w:tcPr>
            <w:tcW w:w="917" w:type="pct"/>
            <w:vAlign w:val="center"/>
          </w:tcPr>
          <w:p w14:paraId="2C2CD145">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专家</w:t>
            </w:r>
          </w:p>
        </w:tc>
        <w:tc>
          <w:tcPr>
            <w:tcW w:w="1165" w:type="pct"/>
            <w:vAlign w:val="center"/>
          </w:tcPr>
          <w:p w14:paraId="05674926">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13955604949</w:t>
            </w:r>
          </w:p>
        </w:tc>
      </w:tr>
      <w:tr w14:paraId="479B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E06D494">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安乐生</w:t>
            </w:r>
          </w:p>
        </w:tc>
        <w:tc>
          <w:tcPr>
            <w:tcW w:w="3844" w:type="dxa"/>
            <w:vAlign w:val="center"/>
          </w:tcPr>
          <w:p w14:paraId="4876D46B">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安庆师范大学</w:t>
            </w:r>
          </w:p>
        </w:tc>
        <w:tc>
          <w:tcPr>
            <w:tcW w:w="1563" w:type="dxa"/>
            <w:vAlign w:val="center"/>
          </w:tcPr>
          <w:p w14:paraId="04073A0A">
            <w:pPr>
              <w:autoSpaceDE w:val="0"/>
              <w:autoSpaceDN w:val="0"/>
              <w:adjustRightInd w:val="0"/>
              <w:spacing w:line="360" w:lineRule="auto"/>
              <w:jc w:val="center"/>
              <w:rPr>
                <w:rFonts w:hint="eastAsia" w:eastAsiaTheme="minorEastAsia"/>
                <w:color w:val="auto"/>
                <w:kern w:val="0"/>
                <w:szCs w:val="21"/>
                <w:highlight w:val="white"/>
                <w:lang w:val="zh-CN"/>
              </w:rPr>
            </w:pPr>
            <w:r>
              <w:rPr>
                <w:rFonts w:hint="eastAsia" w:eastAsiaTheme="minorEastAsia"/>
                <w:color w:val="auto"/>
                <w:kern w:val="0"/>
                <w:szCs w:val="21"/>
                <w:highlight w:val="white"/>
                <w:lang w:val="en-US" w:eastAsia="zh-CN"/>
              </w:rPr>
              <w:t>专家</w:t>
            </w:r>
          </w:p>
        </w:tc>
        <w:tc>
          <w:tcPr>
            <w:tcW w:w="1986" w:type="dxa"/>
            <w:vAlign w:val="center"/>
          </w:tcPr>
          <w:p w14:paraId="5963FB01">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cs="Times New Roman"/>
                <w:i w:val="0"/>
                <w:iCs w:val="0"/>
                <w:color w:val="auto"/>
                <w:kern w:val="0"/>
                <w:sz w:val="21"/>
                <w:szCs w:val="21"/>
                <w:highlight w:val="none"/>
                <w:u w:val="none"/>
                <w:lang w:val="en-US" w:eastAsia="zh-CN" w:bidi="ar"/>
              </w:rPr>
              <w:t>15955565112</w:t>
            </w:r>
          </w:p>
        </w:tc>
      </w:tr>
      <w:tr w14:paraId="5FB34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58FACDB3">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陈祥和</w:t>
            </w:r>
          </w:p>
        </w:tc>
        <w:tc>
          <w:tcPr>
            <w:tcW w:w="2255" w:type="pct"/>
            <w:vAlign w:val="center"/>
          </w:tcPr>
          <w:p w14:paraId="19C7F785">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安徽中祥环境科技有限公司</w:t>
            </w:r>
          </w:p>
        </w:tc>
        <w:tc>
          <w:tcPr>
            <w:tcW w:w="917" w:type="pct"/>
            <w:vAlign w:val="center"/>
          </w:tcPr>
          <w:p w14:paraId="31660319">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en-US" w:eastAsia="zh-CN"/>
              </w:rPr>
              <w:t>专家</w:t>
            </w:r>
          </w:p>
        </w:tc>
        <w:tc>
          <w:tcPr>
            <w:tcW w:w="1165" w:type="pct"/>
            <w:vAlign w:val="center"/>
          </w:tcPr>
          <w:p w14:paraId="06D188E2">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13866052200</w:t>
            </w:r>
          </w:p>
        </w:tc>
      </w:tr>
      <w:tr w14:paraId="5437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64FDF63D">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秦有银</w:t>
            </w:r>
          </w:p>
        </w:tc>
        <w:tc>
          <w:tcPr>
            <w:tcW w:w="2255" w:type="pct"/>
            <w:vAlign w:val="center"/>
          </w:tcPr>
          <w:p w14:paraId="3DE15DE3">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zh-CN"/>
              </w:rPr>
              <w:t>安庆汇辰科技有限公司</w:t>
            </w:r>
          </w:p>
        </w:tc>
        <w:tc>
          <w:tcPr>
            <w:tcW w:w="917" w:type="pct"/>
            <w:vAlign w:val="center"/>
          </w:tcPr>
          <w:p w14:paraId="10FF6858">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7B49EB04">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15027140319</w:t>
            </w:r>
          </w:p>
        </w:tc>
      </w:tr>
      <w:tr w14:paraId="600A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084F0E8E">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张国胜</w:t>
            </w:r>
          </w:p>
        </w:tc>
        <w:tc>
          <w:tcPr>
            <w:tcW w:w="2255" w:type="pct"/>
            <w:vAlign w:val="center"/>
          </w:tcPr>
          <w:p w14:paraId="675D8B5A">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zh-CN"/>
              </w:rPr>
              <w:t>安庆汇辰科技有限公司</w:t>
            </w:r>
          </w:p>
        </w:tc>
        <w:tc>
          <w:tcPr>
            <w:tcW w:w="917" w:type="pct"/>
            <w:vAlign w:val="center"/>
          </w:tcPr>
          <w:p w14:paraId="054682B8">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61B68B3E">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18956987933</w:t>
            </w:r>
          </w:p>
        </w:tc>
      </w:tr>
      <w:tr w14:paraId="066C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50EF2860">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李勤锋</w:t>
            </w:r>
          </w:p>
        </w:tc>
        <w:tc>
          <w:tcPr>
            <w:tcW w:w="2255" w:type="pct"/>
            <w:vAlign w:val="center"/>
          </w:tcPr>
          <w:p w14:paraId="66BC3793">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zh-CN"/>
              </w:rPr>
              <w:t>安庆汇辰科技有限公司</w:t>
            </w:r>
          </w:p>
        </w:tc>
        <w:tc>
          <w:tcPr>
            <w:tcW w:w="917" w:type="pct"/>
            <w:vAlign w:val="center"/>
          </w:tcPr>
          <w:p w14:paraId="028723C0">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6D487EC0">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18164351288</w:t>
            </w:r>
          </w:p>
        </w:tc>
      </w:tr>
      <w:tr w14:paraId="0EB3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4BC11E41">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蔡健</w:t>
            </w:r>
          </w:p>
        </w:tc>
        <w:tc>
          <w:tcPr>
            <w:tcW w:w="2255" w:type="pct"/>
            <w:vAlign w:val="center"/>
          </w:tcPr>
          <w:p w14:paraId="4CC99003">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安徽普利药业有限公司</w:t>
            </w:r>
          </w:p>
        </w:tc>
        <w:tc>
          <w:tcPr>
            <w:tcW w:w="917" w:type="pct"/>
            <w:vAlign w:val="center"/>
          </w:tcPr>
          <w:p w14:paraId="40BC2BAF">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216D2BBF">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15178631942</w:t>
            </w:r>
          </w:p>
        </w:tc>
      </w:tr>
      <w:tr w14:paraId="35DCB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2" w:type="pct"/>
            <w:vAlign w:val="center"/>
          </w:tcPr>
          <w:p w14:paraId="7D09BC36">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唐义才</w:t>
            </w:r>
          </w:p>
        </w:tc>
        <w:tc>
          <w:tcPr>
            <w:tcW w:w="2255" w:type="pct"/>
            <w:vAlign w:val="center"/>
          </w:tcPr>
          <w:p w14:paraId="3959BFCB">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安徽古特生物科技有限公司</w:t>
            </w:r>
          </w:p>
        </w:tc>
        <w:tc>
          <w:tcPr>
            <w:tcW w:w="917" w:type="pct"/>
            <w:vAlign w:val="center"/>
          </w:tcPr>
          <w:p w14:paraId="5C12F5D3">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6DE97C62">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15178631942</w:t>
            </w:r>
          </w:p>
        </w:tc>
      </w:tr>
      <w:tr w14:paraId="0790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680A3A7E">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何志洋</w:t>
            </w:r>
          </w:p>
        </w:tc>
        <w:tc>
          <w:tcPr>
            <w:tcW w:w="2255" w:type="pct"/>
            <w:vAlign w:val="center"/>
          </w:tcPr>
          <w:p w14:paraId="27C19925">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安徽凯格环保工程有限公司</w:t>
            </w:r>
          </w:p>
        </w:tc>
        <w:tc>
          <w:tcPr>
            <w:tcW w:w="917" w:type="pct"/>
            <w:vAlign w:val="center"/>
          </w:tcPr>
          <w:p w14:paraId="32D18E45">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300148A8">
            <w:pPr>
              <w:autoSpaceDE w:val="0"/>
              <w:autoSpaceDN w:val="0"/>
              <w:adjustRightInd w:val="0"/>
              <w:spacing w:line="360" w:lineRule="auto"/>
              <w:jc w:val="center"/>
              <w:rPr>
                <w:rFonts w:hint="default" w:cs="Times New Roman"/>
                <w:i w:val="0"/>
                <w:iCs w:val="0"/>
                <w:color w:val="auto"/>
                <w:kern w:val="0"/>
                <w:sz w:val="21"/>
                <w:szCs w:val="21"/>
                <w:highlight w:val="none"/>
                <w:u w:val="none"/>
                <w:lang w:val="en-US" w:eastAsia="zh-CN" w:bidi="ar"/>
              </w:rPr>
            </w:pPr>
            <w:r>
              <w:rPr>
                <w:rFonts w:hint="eastAsia" w:cs="Times New Roman"/>
                <w:i w:val="0"/>
                <w:iCs w:val="0"/>
                <w:color w:val="auto"/>
                <w:kern w:val="0"/>
                <w:sz w:val="21"/>
                <w:szCs w:val="21"/>
                <w:highlight w:val="none"/>
                <w:u w:val="none"/>
                <w:lang w:val="en-US" w:eastAsia="zh-CN" w:bidi="ar"/>
              </w:rPr>
              <w:t>18712188285</w:t>
            </w:r>
          </w:p>
        </w:tc>
      </w:tr>
      <w:tr w14:paraId="5595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06253BA4">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张露</w:t>
            </w:r>
          </w:p>
        </w:tc>
        <w:tc>
          <w:tcPr>
            <w:tcW w:w="2255" w:type="pct"/>
            <w:vAlign w:val="center"/>
          </w:tcPr>
          <w:p w14:paraId="7C6C7764">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安徽凯格环保工程有限公司</w:t>
            </w:r>
          </w:p>
        </w:tc>
        <w:tc>
          <w:tcPr>
            <w:tcW w:w="917" w:type="pct"/>
            <w:vAlign w:val="center"/>
          </w:tcPr>
          <w:p w14:paraId="5108EC66">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组员</w:t>
            </w:r>
          </w:p>
        </w:tc>
        <w:tc>
          <w:tcPr>
            <w:tcW w:w="1165" w:type="pct"/>
            <w:vAlign w:val="center"/>
          </w:tcPr>
          <w:p w14:paraId="39F7A1EF">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en-US" w:eastAsia="zh-CN"/>
              </w:rPr>
              <w:t>17356036717</w:t>
            </w:r>
          </w:p>
        </w:tc>
      </w:tr>
    </w:tbl>
    <w:p w14:paraId="2F757C28">
      <w:pPr>
        <w:pStyle w:val="6"/>
        <w:spacing w:before="0" w:line="360" w:lineRule="auto"/>
        <w:ind w:firstLine="480"/>
        <w:jc w:val="right"/>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安庆汇辰科技有限公司</w:t>
      </w:r>
    </w:p>
    <w:p w14:paraId="35499F7B">
      <w:pPr>
        <w:pStyle w:val="6"/>
        <w:spacing w:before="0" w:line="360" w:lineRule="auto"/>
        <w:ind w:firstLine="480"/>
        <w:jc w:val="right"/>
        <w:rPr>
          <w:color w:val="auto"/>
          <w:sz w:val="24"/>
        </w:rPr>
      </w:pPr>
      <w:r>
        <w:rPr>
          <w:rFonts w:hint="eastAsia" w:ascii="Times New Roman" w:hAnsi="Times New Roman" w:eastAsia="宋体" w:cs="Times New Roman"/>
          <w:sz w:val="24"/>
          <w:szCs w:val="24"/>
          <w:highlight w:val="none"/>
          <w:lang w:eastAsia="zh-CN"/>
        </w:rPr>
        <w:t>202</w:t>
      </w:r>
      <w:r>
        <w:rPr>
          <w:rFonts w:hint="eastAsia" w:ascii="Times New Roman" w:hAnsi="Times New Roman" w:eastAsia="宋体" w:cs="Times New Roman"/>
          <w:sz w:val="24"/>
          <w:szCs w:val="24"/>
          <w:highlight w:val="none"/>
          <w:lang w:val="en-US" w:eastAsia="zh-CN"/>
        </w:rPr>
        <w:t>6</w:t>
      </w:r>
      <w:r>
        <w:rPr>
          <w:rFonts w:hint="eastAsia" w:ascii="Times New Roman" w:hAnsi="Times New Roman" w:eastAsia="宋体" w:cs="Times New Roman"/>
          <w:sz w:val="24"/>
          <w:szCs w:val="24"/>
          <w:highlight w:val="none"/>
          <w:lang w:eastAsia="zh-CN"/>
        </w:rPr>
        <w:t>年</w:t>
      </w:r>
      <w:r>
        <w:rPr>
          <w:rFonts w:hint="eastAsia" w:ascii="Times New Roman" w:hAnsi="Times New Roman" w:eastAsia="宋体" w:cs="Times New Roman"/>
          <w:sz w:val="24"/>
          <w:szCs w:val="24"/>
          <w:highlight w:val="none"/>
          <w:lang w:val="en-US" w:eastAsia="zh-CN"/>
        </w:rPr>
        <w:t xml:space="preserve"> 5</w:t>
      </w:r>
      <w:r>
        <w:rPr>
          <w:rFonts w:hint="eastAsia" w:ascii="Times New Roman" w:hAnsi="Times New Roman" w:eastAsia="宋体" w:cs="Times New Roman"/>
          <w:sz w:val="24"/>
          <w:szCs w:val="24"/>
          <w:highlight w:val="none"/>
          <w:lang w:eastAsia="zh-CN"/>
        </w:rPr>
        <w:t xml:space="preserve">月 </w:t>
      </w:r>
      <w:r>
        <w:rPr>
          <w:rFonts w:hint="eastAsia" w:ascii="Times New Roman" w:hAnsi="Times New Roman" w:eastAsia="宋体" w:cs="Times New Roman"/>
          <w:sz w:val="24"/>
          <w:szCs w:val="24"/>
          <w:highlight w:val="none"/>
          <w:lang w:val="en-US" w:eastAsia="zh-CN"/>
        </w:rPr>
        <w:t>13</w:t>
      </w:r>
      <w:r>
        <w:rPr>
          <w:rFonts w:hint="eastAsia" w:ascii="Times New Roman" w:hAnsi="Times New Roman" w:eastAsia="宋体" w:cs="Times New Roman"/>
          <w:sz w:val="24"/>
          <w:szCs w:val="24"/>
          <w:highlight w:val="none"/>
          <w:lang w:eastAsia="zh-CN"/>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icrosoftYaHei">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FF5D9">
    <w:pPr>
      <w:pStyle w:val="13"/>
      <w:widowControl/>
      <w:ind w:left="0" w:leftChars="0" w:right="360" w:firstLine="0" w:firstLineChars="0"/>
      <w:rPr>
        <w:rFonts w:hint="eastAsia" w:cs="Times New Roman"/>
        <w:kern w:val="0"/>
      </w:rPr>
    </w:pPr>
    <w:r>
      <w:rPr>
        <w:rFonts w:cs="Times New Roman"/>
        <w:kern w:val="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C9056D">
                          <w:pPr>
                            <w:pStyle w:val="13"/>
                            <w:widowControl/>
                            <w:ind w:firstLine="360"/>
                            <w:rPr>
                              <w:rFonts w:hint="eastAsia" w:cs="Times New Roman"/>
                              <w:kern w:val="0"/>
                            </w:rPr>
                          </w:pPr>
                          <w:r>
                            <w:rPr>
                              <w:rFonts w:hint="eastAsia" w:cs="Times New Roman"/>
                              <w:kern w:val="0"/>
                            </w:rPr>
                            <w:t xml:space="preserve">第 </w:t>
                          </w:r>
                          <w:r>
                            <w:rPr>
                              <w:rFonts w:hint="eastAsia" w:cs="Times New Roman"/>
                              <w:kern w:val="0"/>
                            </w:rPr>
                            <w:fldChar w:fldCharType="begin"/>
                          </w:r>
                          <w:r>
                            <w:rPr>
                              <w:rFonts w:hint="eastAsia" w:cs="Times New Roman"/>
                              <w:kern w:val="0"/>
                            </w:rPr>
                            <w:instrText xml:space="preserve"> PAGE  \* MERGEFORMAT </w:instrText>
                          </w:r>
                          <w:r>
                            <w:rPr>
                              <w:rFonts w:hint="eastAsia" w:cs="Times New Roman"/>
                              <w:kern w:val="0"/>
                            </w:rPr>
                            <w:fldChar w:fldCharType="separate"/>
                          </w:r>
                          <w:r>
                            <w:rPr>
                              <w:rFonts w:cs="Times New Roman"/>
                              <w:kern w:val="0"/>
                            </w:rPr>
                            <w:t>22</w:t>
                          </w:r>
                          <w:r>
                            <w:rPr>
                              <w:rFonts w:hint="eastAsia" w:cs="Times New Roman"/>
                              <w:kern w:val="0"/>
                            </w:rPr>
                            <w:fldChar w:fldCharType="end"/>
                          </w:r>
                          <w:r>
                            <w:rPr>
                              <w:rFonts w:hint="eastAsia" w:cs="Times New Roman"/>
                              <w:kern w:val="0"/>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9C9056D">
                    <w:pPr>
                      <w:pStyle w:val="13"/>
                      <w:widowControl/>
                      <w:ind w:firstLine="360"/>
                      <w:rPr>
                        <w:rFonts w:hint="eastAsia" w:cs="Times New Roman"/>
                        <w:kern w:val="0"/>
                      </w:rPr>
                    </w:pPr>
                    <w:r>
                      <w:rPr>
                        <w:rFonts w:hint="eastAsia" w:cs="Times New Roman"/>
                        <w:kern w:val="0"/>
                      </w:rPr>
                      <w:t xml:space="preserve">第 </w:t>
                    </w:r>
                    <w:r>
                      <w:rPr>
                        <w:rFonts w:hint="eastAsia" w:cs="Times New Roman"/>
                        <w:kern w:val="0"/>
                      </w:rPr>
                      <w:fldChar w:fldCharType="begin"/>
                    </w:r>
                    <w:r>
                      <w:rPr>
                        <w:rFonts w:hint="eastAsia" w:cs="Times New Roman"/>
                        <w:kern w:val="0"/>
                      </w:rPr>
                      <w:instrText xml:space="preserve"> PAGE  \* MERGEFORMAT </w:instrText>
                    </w:r>
                    <w:r>
                      <w:rPr>
                        <w:rFonts w:hint="eastAsia" w:cs="Times New Roman"/>
                        <w:kern w:val="0"/>
                      </w:rPr>
                      <w:fldChar w:fldCharType="separate"/>
                    </w:r>
                    <w:r>
                      <w:rPr>
                        <w:rFonts w:cs="Times New Roman"/>
                        <w:kern w:val="0"/>
                      </w:rPr>
                      <w:t>22</w:t>
                    </w:r>
                    <w:r>
                      <w:rPr>
                        <w:rFonts w:hint="eastAsia" w:cs="Times New Roman"/>
                        <w:kern w:val="0"/>
                      </w:rPr>
                      <w:fldChar w:fldCharType="end"/>
                    </w:r>
                    <w:r>
                      <w:rPr>
                        <w:rFonts w:hint="eastAsia" w:cs="Times New Roman"/>
                        <w:kern w:val="0"/>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9B205">
    <w:pPr>
      <w:pStyle w:val="14"/>
      <w:widowControl/>
      <w:ind w:firstLine="360"/>
      <w:rPr>
        <w:rFonts w:cs="Times New Roman"/>
        <w:kern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0N2Y4Y2M3YzYzNmU4YzM5NWYwYTg5MTg2ZTc1NTgifQ=="/>
  </w:docVars>
  <w:rsids>
    <w:rsidRoot w:val="00172A27"/>
    <w:rsid w:val="000F6FAD"/>
    <w:rsid w:val="001644BC"/>
    <w:rsid w:val="00217F13"/>
    <w:rsid w:val="004C03EB"/>
    <w:rsid w:val="005167D0"/>
    <w:rsid w:val="005724BA"/>
    <w:rsid w:val="005D438A"/>
    <w:rsid w:val="006659E9"/>
    <w:rsid w:val="007B5BCA"/>
    <w:rsid w:val="008700BA"/>
    <w:rsid w:val="008A2F26"/>
    <w:rsid w:val="0094161E"/>
    <w:rsid w:val="00A82FE9"/>
    <w:rsid w:val="00B33FF1"/>
    <w:rsid w:val="00C01108"/>
    <w:rsid w:val="00D01294"/>
    <w:rsid w:val="00DD6AB2"/>
    <w:rsid w:val="00EE641B"/>
    <w:rsid w:val="00F62BA9"/>
    <w:rsid w:val="01541EA9"/>
    <w:rsid w:val="018C33F1"/>
    <w:rsid w:val="0341249E"/>
    <w:rsid w:val="0358310C"/>
    <w:rsid w:val="03764359"/>
    <w:rsid w:val="03DE1080"/>
    <w:rsid w:val="04A6181A"/>
    <w:rsid w:val="075A7AEE"/>
    <w:rsid w:val="08F560BD"/>
    <w:rsid w:val="09470BF0"/>
    <w:rsid w:val="0C346B5F"/>
    <w:rsid w:val="0C3D1EB8"/>
    <w:rsid w:val="0CA02447"/>
    <w:rsid w:val="0EE730D9"/>
    <w:rsid w:val="0EF44384"/>
    <w:rsid w:val="0FB6788B"/>
    <w:rsid w:val="0FE20321"/>
    <w:rsid w:val="1211524D"/>
    <w:rsid w:val="130B7EEE"/>
    <w:rsid w:val="14065285"/>
    <w:rsid w:val="14524026"/>
    <w:rsid w:val="14C33176"/>
    <w:rsid w:val="14DC1B42"/>
    <w:rsid w:val="1514752E"/>
    <w:rsid w:val="15604521"/>
    <w:rsid w:val="156C2EC6"/>
    <w:rsid w:val="15E2587E"/>
    <w:rsid w:val="16FC296F"/>
    <w:rsid w:val="18C15C1F"/>
    <w:rsid w:val="1A78230D"/>
    <w:rsid w:val="1CFE1784"/>
    <w:rsid w:val="1D306ECF"/>
    <w:rsid w:val="1D416BD4"/>
    <w:rsid w:val="1DDF4451"/>
    <w:rsid w:val="1F095831"/>
    <w:rsid w:val="1F1B731A"/>
    <w:rsid w:val="23696C97"/>
    <w:rsid w:val="2372058B"/>
    <w:rsid w:val="23A221A9"/>
    <w:rsid w:val="23C5173D"/>
    <w:rsid w:val="244B45EE"/>
    <w:rsid w:val="24A81A41"/>
    <w:rsid w:val="282472DA"/>
    <w:rsid w:val="2A2658E2"/>
    <w:rsid w:val="2AD57308"/>
    <w:rsid w:val="2B91322F"/>
    <w:rsid w:val="2C732934"/>
    <w:rsid w:val="2C923702"/>
    <w:rsid w:val="2CFC5020"/>
    <w:rsid w:val="2E0F48DF"/>
    <w:rsid w:val="2F6A6270"/>
    <w:rsid w:val="2FE14059"/>
    <w:rsid w:val="30B005FB"/>
    <w:rsid w:val="318C5234"/>
    <w:rsid w:val="323B0398"/>
    <w:rsid w:val="327F2033"/>
    <w:rsid w:val="33294694"/>
    <w:rsid w:val="33743B62"/>
    <w:rsid w:val="33C70135"/>
    <w:rsid w:val="33D939C5"/>
    <w:rsid w:val="34421A18"/>
    <w:rsid w:val="344D3AEC"/>
    <w:rsid w:val="346E0535"/>
    <w:rsid w:val="35D501BC"/>
    <w:rsid w:val="367C4B66"/>
    <w:rsid w:val="386E6C71"/>
    <w:rsid w:val="39B822CE"/>
    <w:rsid w:val="3A4A0CF0"/>
    <w:rsid w:val="3B5B1DC5"/>
    <w:rsid w:val="3B8406BA"/>
    <w:rsid w:val="3C7249B6"/>
    <w:rsid w:val="3D6562C9"/>
    <w:rsid w:val="3DBD29D4"/>
    <w:rsid w:val="3E3C527C"/>
    <w:rsid w:val="3F2A5A1C"/>
    <w:rsid w:val="3FB11845"/>
    <w:rsid w:val="41395AA3"/>
    <w:rsid w:val="425F3C2F"/>
    <w:rsid w:val="442B59E3"/>
    <w:rsid w:val="44367A37"/>
    <w:rsid w:val="46EE10DD"/>
    <w:rsid w:val="49362EA4"/>
    <w:rsid w:val="49746212"/>
    <w:rsid w:val="4E616639"/>
    <w:rsid w:val="4F1F45F5"/>
    <w:rsid w:val="50CB0B77"/>
    <w:rsid w:val="52021EE1"/>
    <w:rsid w:val="52ED2B91"/>
    <w:rsid w:val="530F0D59"/>
    <w:rsid w:val="53463E0B"/>
    <w:rsid w:val="54C87412"/>
    <w:rsid w:val="56D773BB"/>
    <w:rsid w:val="56F269C8"/>
    <w:rsid w:val="579F68AE"/>
    <w:rsid w:val="5A166E71"/>
    <w:rsid w:val="5A7A7400"/>
    <w:rsid w:val="5B2353A2"/>
    <w:rsid w:val="5C7D6D34"/>
    <w:rsid w:val="5D9205BD"/>
    <w:rsid w:val="5D9E3405"/>
    <w:rsid w:val="5F041285"/>
    <w:rsid w:val="61447BB9"/>
    <w:rsid w:val="62775FD3"/>
    <w:rsid w:val="63AB23D8"/>
    <w:rsid w:val="64011E50"/>
    <w:rsid w:val="65F8742B"/>
    <w:rsid w:val="664F7993"/>
    <w:rsid w:val="665054B9"/>
    <w:rsid w:val="66F45E44"/>
    <w:rsid w:val="69146C72"/>
    <w:rsid w:val="69B12712"/>
    <w:rsid w:val="6A097E59"/>
    <w:rsid w:val="6AEA5EDC"/>
    <w:rsid w:val="6B204148"/>
    <w:rsid w:val="6B293A28"/>
    <w:rsid w:val="6B8E2D0B"/>
    <w:rsid w:val="6BF81E3B"/>
    <w:rsid w:val="6F0230C8"/>
    <w:rsid w:val="6F35524C"/>
    <w:rsid w:val="6F4162E7"/>
    <w:rsid w:val="709541F4"/>
    <w:rsid w:val="713113D9"/>
    <w:rsid w:val="723839D1"/>
    <w:rsid w:val="73397D6D"/>
    <w:rsid w:val="7346211D"/>
    <w:rsid w:val="75D02172"/>
    <w:rsid w:val="76946CFC"/>
    <w:rsid w:val="76B4114C"/>
    <w:rsid w:val="77EC1AA6"/>
    <w:rsid w:val="78F47F26"/>
    <w:rsid w:val="7ABE2599"/>
    <w:rsid w:val="7BF1074D"/>
    <w:rsid w:val="7BF70459"/>
    <w:rsid w:val="7C5E7F62"/>
    <w:rsid w:val="7CCD2F68"/>
    <w:rsid w:val="7D1E37C3"/>
    <w:rsid w:val="7EE756FA"/>
    <w:rsid w:val="7FB14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50" w:beforeLines="50" w:after="50" w:afterLines="50" w:line="360" w:lineRule="auto"/>
      <w:jc w:val="center"/>
      <w:outlineLvl w:val="0"/>
    </w:pPr>
    <w:rPr>
      <w:rFonts w:cs="Arial"/>
      <w:b/>
      <w:kern w:val="44"/>
      <w:sz w:val="32"/>
      <w:szCs w:val="22"/>
    </w:rPr>
  </w:style>
  <w:style w:type="paragraph" w:styleId="3">
    <w:name w:val="heading 2"/>
    <w:basedOn w:val="1"/>
    <w:next w:val="1"/>
    <w:link w:val="25"/>
    <w:semiHidden/>
    <w:unhideWhenUsed/>
    <w:qFormat/>
    <w:uiPriority w:val="0"/>
    <w:pPr>
      <w:keepNext/>
      <w:keepLines/>
      <w:spacing w:before="50" w:beforeLines="50" w:after="50" w:afterLines="50" w:line="360" w:lineRule="auto"/>
      <w:outlineLvl w:val="1"/>
    </w:pPr>
    <w:rPr>
      <w:rFonts w:eastAsiaTheme="minorEastAsia"/>
      <w:b/>
      <w:bCs/>
      <w:sz w:val="28"/>
      <w:szCs w:val="32"/>
    </w:rPr>
  </w:style>
  <w:style w:type="paragraph" w:styleId="4">
    <w:name w:val="heading 3"/>
    <w:basedOn w:val="1"/>
    <w:next w:val="1"/>
    <w:semiHidden/>
    <w:unhideWhenUsed/>
    <w:qFormat/>
    <w:uiPriority w:val="0"/>
    <w:pPr>
      <w:keepNext/>
      <w:keepLines/>
      <w:spacing w:before="20" w:after="20" w:line="360" w:lineRule="auto"/>
      <w:outlineLvl w:val="2"/>
    </w:pPr>
    <w:rPr>
      <w:rFonts w:cs="Arial"/>
      <w:b/>
      <w:sz w:val="28"/>
      <w:szCs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widowControl/>
      <w:adjustRightInd w:val="0"/>
      <w:snapToGrid w:val="0"/>
      <w:spacing w:after="200"/>
      <w:ind w:firstLine="652"/>
      <w:jc w:val="left"/>
    </w:pPr>
    <w:rPr>
      <w:rFonts w:ascii="Tahoma" w:hAnsi="Tahoma" w:eastAsia="微软雅黑"/>
      <w:kern w:val="0"/>
      <w:sz w:val="22"/>
      <w:szCs w:val="22"/>
    </w:rPr>
  </w:style>
  <w:style w:type="paragraph" w:styleId="6">
    <w:name w:val="Body Text First Indent 2"/>
    <w:basedOn w:val="1"/>
    <w:next w:val="1"/>
    <w:unhideWhenUsed/>
    <w:qFormat/>
    <w:uiPriority w:val="99"/>
    <w:pPr>
      <w:ind w:firstLine="420" w:firstLineChars="200"/>
    </w:pPr>
  </w:style>
  <w:style w:type="paragraph" w:styleId="7">
    <w:name w:val="annotation text"/>
    <w:basedOn w:val="1"/>
    <w:qFormat/>
    <w:uiPriority w:val="0"/>
    <w:pPr>
      <w:jc w:val="left"/>
    </w:pPr>
  </w:style>
  <w:style w:type="paragraph" w:styleId="8">
    <w:name w:val="Body Text"/>
    <w:basedOn w:val="1"/>
    <w:next w:val="1"/>
    <w:link w:val="27"/>
    <w:qFormat/>
    <w:uiPriority w:val="0"/>
    <w:pPr>
      <w:spacing w:after="120"/>
    </w:pPr>
  </w:style>
  <w:style w:type="paragraph" w:styleId="9">
    <w:name w:val="Body Text Indent"/>
    <w:basedOn w:val="1"/>
    <w:next w:val="10"/>
    <w:unhideWhenUsed/>
    <w:qFormat/>
    <w:uiPriority w:val="99"/>
    <w:pPr>
      <w:spacing w:before="120" w:line="360" w:lineRule="atLeast"/>
      <w:ind w:firstLine="539"/>
    </w:pPr>
    <w:rPr>
      <w:sz w:val="24"/>
    </w:rPr>
  </w:style>
  <w:style w:type="paragraph" w:styleId="10">
    <w:name w:val="envelope return"/>
    <w:basedOn w:val="1"/>
    <w:unhideWhenUsed/>
    <w:qFormat/>
    <w:uiPriority w:val="99"/>
    <w:pPr>
      <w:snapToGrid w:val="0"/>
      <w:ind w:firstLine="723"/>
      <w:jc w:val="left"/>
    </w:pPr>
    <w:rPr>
      <w:rFonts w:ascii="Arial" w:hAnsi="Arial" w:cs="宋体"/>
    </w:rPr>
  </w:style>
  <w:style w:type="paragraph" w:styleId="11">
    <w:name w:val="Plain Text"/>
    <w:basedOn w:val="1"/>
    <w:qFormat/>
    <w:uiPriority w:val="0"/>
    <w:rPr>
      <w:rFonts w:ascii="宋体" w:hAnsi="Courier New"/>
    </w:rPr>
  </w:style>
  <w:style w:type="paragraph" w:styleId="12">
    <w:name w:val="Date"/>
    <w:next w:val="1"/>
    <w:semiHidden/>
    <w:unhideWhenUsed/>
    <w:qFormat/>
    <w:uiPriority w:val="99"/>
    <w:pPr>
      <w:widowControl w:val="0"/>
      <w:ind w:left="100" w:leftChars="2500"/>
      <w:jc w:val="both"/>
    </w:pPr>
    <w:rPr>
      <w:rFonts w:asciiTheme="minorHAnsi" w:hAnsiTheme="minorHAnsi" w:eastAsiaTheme="minorEastAsia" w:cstheme="minorBidi"/>
      <w:kern w:val="2"/>
      <w:sz w:val="21"/>
      <w:szCs w:val="22"/>
      <w:lang w:val="en-US" w:eastAsia="zh-CN" w:bidi="ar-SA"/>
    </w:rPr>
  </w:style>
  <w:style w:type="paragraph" w:styleId="13">
    <w:name w:val="footer"/>
    <w:qFormat/>
    <w:uiPriority w:val="0"/>
    <w:pPr>
      <w:tabs>
        <w:tab w:val="center" w:pos="4153"/>
        <w:tab w:val="right" w:pos="8306"/>
      </w:tabs>
      <w:adjustRightInd w:val="0"/>
      <w:snapToGrid w:val="0"/>
      <w:spacing w:line="360" w:lineRule="auto"/>
      <w:ind w:firstLine="560" w:firstLineChars="200"/>
      <w:jc w:val="both"/>
    </w:pPr>
    <w:rPr>
      <w:rFonts w:ascii="Tahoma" w:hAnsi="Tahoma" w:eastAsia="宋体" w:cs="Times New Roman"/>
      <w:sz w:val="18"/>
      <w:szCs w:val="18"/>
      <w:lang w:val="en-US" w:eastAsia="zh-CN" w:bidi="ar-SA"/>
    </w:rPr>
  </w:style>
  <w:style w:type="paragraph" w:styleId="14">
    <w:name w:val="header"/>
    <w:qFormat/>
    <w:uiPriority w:val="0"/>
    <w:pPr>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240" w:lineRule="auto"/>
      <w:ind w:firstLine="560" w:firstLineChars="200"/>
      <w:jc w:val="both"/>
      <w:outlineLvl w:val="9"/>
    </w:pPr>
    <w:rPr>
      <w:rFonts w:ascii="Times New Roman" w:hAnsi="Times New Roman" w:eastAsia="宋体" w:cs="Times New Roman"/>
      <w:sz w:val="18"/>
      <w:szCs w:val="24"/>
      <w:lang w:val="en-US" w:eastAsia="zh-CN" w:bidi="ar-SA"/>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表头"/>
    <w:basedOn w:val="19"/>
    <w:next w:val="1"/>
    <w:qFormat/>
    <w:uiPriority w:val="0"/>
    <w:pPr>
      <w:spacing w:before="50" w:beforeLines="50" w:after="50" w:afterLines="50" w:line="360" w:lineRule="auto"/>
      <w:jc w:val="center"/>
    </w:pPr>
    <w:rPr>
      <w:rFonts w:ascii="Times New Roman" w:hAnsi="Times New Roman" w:cs="Arial"/>
      <w:szCs w:val="22"/>
    </w:rPr>
  </w:style>
  <w:style w:type="paragraph" w:customStyle="1" w:styleId="19">
    <w:name w:val="文本"/>
    <w:basedOn w:val="1"/>
    <w:next w:val="1"/>
    <w:autoRedefine/>
    <w:qFormat/>
    <w:uiPriority w:val="99"/>
    <w:pPr>
      <w:widowControl/>
      <w:spacing w:line="440" w:lineRule="exact"/>
      <w:ind w:firstLine="0" w:firstLineChars="0"/>
      <w:jc w:val="left"/>
    </w:pPr>
    <w:rPr>
      <w:rFonts w:ascii="Calibri" w:hAnsi="Calibri"/>
      <w:sz w:val="21"/>
    </w:rPr>
  </w:style>
  <w:style w:type="paragraph" w:customStyle="1" w:styleId="20">
    <w:name w:val="表格"/>
    <w:basedOn w:val="18"/>
    <w:next w:val="1"/>
    <w:qFormat/>
    <w:uiPriority w:val="0"/>
    <w:pPr>
      <w:adjustRightInd w:val="0"/>
      <w:snapToGrid w:val="0"/>
      <w:spacing w:line="240" w:lineRule="auto"/>
      <w:ind w:firstLine="0" w:firstLineChars="0"/>
      <w:jc w:val="center"/>
    </w:pPr>
    <w:rPr>
      <w:rFonts w:ascii="Times New Roman" w:hAnsi="Times New Roman" w:eastAsia="宋体" w:cs="Times New Roman"/>
      <w:sz w:val="21"/>
      <w:szCs w:val="20"/>
    </w:rPr>
  </w:style>
  <w:style w:type="paragraph" w:customStyle="1" w:styleId="21">
    <w:name w:val="标号正文"/>
    <w:basedOn w:val="1"/>
    <w:next w:val="1"/>
    <w:qFormat/>
    <w:uiPriority w:val="0"/>
    <w:pPr>
      <w:tabs>
        <w:tab w:val="left" w:pos="1540"/>
      </w:tabs>
      <w:overflowPunct w:val="0"/>
      <w:snapToGrid w:val="0"/>
      <w:spacing w:line="360" w:lineRule="auto"/>
      <w:ind w:left="0" w:firstLine="1040"/>
      <w:jc w:val="left"/>
    </w:pPr>
    <w:rPr>
      <w:rFonts w:ascii="Arial" w:hAnsi="Arial" w:eastAsia="宋体"/>
      <w:sz w:val="24"/>
      <w:szCs w:val="20"/>
    </w:rPr>
  </w:style>
  <w:style w:type="paragraph" w:customStyle="1" w:styleId="22">
    <w:name w:val="正文-Walker"/>
    <w:basedOn w:val="1"/>
    <w:qFormat/>
    <w:uiPriority w:val="0"/>
    <w:rPr>
      <w:rFonts w:cs="宋体"/>
      <w:sz w:val="24"/>
      <w:szCs w:val="22"/>
    </w:rPr>
  </w:style>
  <w:style w:type="paragraph" w:customStyle="1" w:styleId="23">
    <w:name w:val="表中字体-Walker"/>
    <w:basedOn w:val="1"/>
    <w:qFormat/>
    <w:uiPriority w:val="0"/>
    <w:rPr>
      <w:rFonts w:cs="Arial"/>
      <w:szCs w:val="22"/>
    </w:rPr>
  </w:style>
  <w:style w:type="paragraph" w:customStyle="1" w:styleId="24">
    <w:name w:val="表头-Walker"/>
    <w:basedOn w:val="11"/>
    <w:qFormat/>
    <w:uiPriority w:val="0"/>
    <w:pPr>
      <w:spacing w:before="50" w:beforeLines="50" w:after="50" w:afterLines="50" w:line="360" w:lineRule="auto"/>
      <w:jc w:val="center"/>
    </w:pPr>
    <w:rPr>
      <w:rFonts w:ascii="Times New Roman" w:hAnsi="Times New Roman" w:cs="Arial"/>
      <w:b/>
      <w:szCs w:val="22"/>
    </w:rPr>
  </w:style>
  <w:style w:type="character" w:customStyle="1" w:styleId="25">
    <w:name w:val="标题 2 字符"/>
    <w:link w:val="3"/>
    <w:qFormat/>
    <w:uiPriority w:val="0"/>
    <w:rPr>
      <w:rFonts w:ascii="Times New Roman" w:hAnsi="Times New Roman" w:eastAsiaTheme="minorEastAsia"/>
      <w:b/>
      <w:bCs/>
      <w:sz w:val="28"/>
      <w:szCs w:val="32"/>
    </w:rPr>
  </w:style>
  <w:style w:type="paragraph" w:customStyle="1" w:styleId="26">
    <w:name w:val="普通(网站)1"/>
    <w:basedOn w:val="1"/>
    <w:qFormat/>
    <w:uiPriority w:val="0"/>
    <w:pPr>
      <w:spacing w:before="100" w:beforeAutospacing="1" w:after="100" w:afterAutospacing="1"/>
    </w:pPr>
    <w:rPr>
      <w:rFonts w:ascii="宋体" w:hAnsi="宋体" w:cs="宋体"/>
      <w:sz w:val="24"/>
    </w:rPr>
  </w:style>
  <w:style w:type="character" w:customStyle="1" w:styleId="27">
    <w:name w:val="正文文本 字符"/>
    <w:basedOn w:val="17"/>
    <w:link w:val="8"/>
    <w:qFormat/>
    <w:uiPriority w:val="0"/>
    <w:rPr>
      <w:rFonts w:ascii="Times New Roman" w:hAnsi="Times New Roman"/>
      <w:kern w:val="2"/>
      <w:sz w:val="21"/>
      <w:szCs w:val="24"/>
    </w:rPr>
  </w:style>
  <w:style w:type="paragraph" w:customStyle="1" w:styleId="2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9">
    <w:name w:val="图表标题"/>
    <w:basedOn w:val="1"/>
    <w:qFormat/>
    <w:uiPriority w:val="0"/>
    <w:pPr>
      <w:ind w:firstLine="0" w:firstLineChars="0"/>
      <w:jc w:val="center"/>
    </w:pPr>
    <w:rPr>
      <w:rFonts w:eastAsia="Times New Roman"/>
      <w:b/>
    </w:rPr>
  </w:style>
  <w:style w:type="paragraph" w:customStyle="1" w:styleId="30">
    <w:name w:val="wg"/>
    <w:basedOn w:val="1"/>
    <w:qFormat/>
    <w:uiPriority w:val="0"/>
    <w:rPr>
      <w:sz w:val="28"/>
    </w:rPr>
  </w:style>
  <w:style w:type="paragraph" w:customStyle="1" w:styleId="31">
    <w:name w:val="A标准格式"/>
    <w:basedOn w:val="1"/>
    <w:qFormat/>
    <w:uiPriority w:val="0"/>
    <w:pPr>
      <w:spacing w:line="440" w:lineRule="exact"/>
      <w:ind w:firstLine="480" w:firstLineChars="200"/>
    </w:pPr>
    <w:rPr>
      <w:rFonts w:eastAsia="宋体"/>
      <w:sz w:val="24"/>
      <w:szCs w:val="24"/>
    </w:rPr>
  </w:style>
  <w:style w:type="paragraph" w:customStyle="1" w:styleId="32">
    <w:name w:val="表格内容自定"/>
    <w:basedOn w:val="1"/>
    <w:qFormat/>
    <w:uiPriority w:val="0"/>
    <w:pPr>
      <w:spacing w:line="280" w:lineRule="exact"/>
      <w:jc w:val="center"/>
    </w:pPr>
    <w:rPr>
      <w:kern w:val="0"/>
      <w:sz w:val="18"/>
      <w:szCs w:val="20"/>
    </w:rPr>
  </w:style>
  <w:style w:type="paragraph" w:customStyle="1" w:styleId="33">
    <w:name w:val="新格式表"/>
    <w:basedOn w:val="1"/>
    <w:autoRedefine/>
    <w:qFormat/>
    <w:uiPriority w:val="0"/>
    <w:pPr>
      <w:spacing w:line="440" w:lineRule="exact"/>
      <w:jc w:val="center"/>
    </w:pPr>
    <w:rPr>
      <w:rFonts w:ascii="Times New Roman" w:hAnsi="Times New Roman" w:eastAsia="宋体" w:cs="Times New Roman"/>
      <w:snapToGrid w:val="0"/>
      <w:color w:val="FF0000"/>
      <w:szCs w:val="21"/>
    </w:rPr>
  </w:style>
  <w:style w:type="paragraph" w:customStyle="1" w:styleId="34">
    <w:name w:val="表格正文"/>
    <w:qFormat/>
    <w:uiPriority w:val="0"/>
    <w:pPr>
      <w:autoSpaceDE w:val="0"/>
      <w:autoSpaceDN w:val="0"/>
      <w:adjustRightInd w:val="0"/>
      <w:snapToGrid w:val="0"/>
      <w:spacing w:line="240" w:lineRule="auto"/>
      <w:ind w:firstLine="0" w:firstLineChars="0"/>
      <w:jc w:val="center"/>
      <w:textAlignment w:val="bottom"/>
    </w:pPr>
    <w:rPr>
      <w:rFonts w:ascii="Times New Roman" w:hAnsi="Times New Roman" w:eastAsia="宋体" w:cs="Times New Roman"/>
      <w:kern w:val="0"/>
      <w:sz w:val="21"/>
      <w:szCs w:val="20"/>
      <w:lang w:val="en-US" w:eastAsia="zh-CN" w:bidi="ar-SA"/>
    </w:rPr>
  </w:style>
  <w:style w:type="paragraph" w:customStyle="1" w:styleId="35">
    <w:name w:val="环评正文"/>
    <w:autoRedefine/>
    <w:qFormat/>
    <w:uiPriority w:val="0"/>
    <w:pPr>
      <w:widowControl w:val="0"/>
      <w:spacing w:line="500" w:lineRule="exact"/>
      <w:ind w:left="0" w:leftChars="0" w:firstLine="560" w:firstLineChars="200"/>
      <w:jc w:val="both"/>
    </w:pPr>
    <w:rPr>
      <w:rFonts w:ascii="仿宋_GB2312" w:hAnsi="Times New Roman" w:eastAsia="仿宋_GB2312" w:cs="Times New Roman"/>
      <w:kern w:val="2"/>
      <w:sz w:val="28"/>
      <w:szCs w:val="24"/>
      <w:lang w:val="en-US" w:eastAsia="zh-CN" w:bidi="ar-SA"/>
    </w:rPr>
  </w:style>
  <w:style w:type="paragraph" w:styleId="36">
    <w:name w:val="List Paragraph"/>
    <w:autoRedefine/>
    <w:qFormat/>
    <w:uiPriority w:val="1"/>
    <w:pPr>
      <w:widowControl w:val="0"/>
      <w:ind w:firstLine="420" w:firstLineChars="20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2889</Words>
  <Characters>3261</Characters>
  <Lines>16</Lines>
  <Paragraphs>4</Paragraphs>
  <TotalTime>141</TotalTime>
  <ScaleCrop>false</ScaleCrop>
  <LinksUpToDate>false</LinksUpToDate>
  <CharactersWithSpaces>3269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2021-07-10T03:11:00Z</dcterms:created>
  <dc:creator>Walker</dc:creator>
  <cp:lastModifiedBy>lucy</cp:lastModifiedBy>
  <cp:lastPrinted>2020-11-11T00:40:00Z</cp:lastPrinted>
  <dcterms:modified xsi:type="dcterms:W3CDTF">2026-06-18T06:03:52Z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0A7E81F9C68E49139712B16C0AAC6B9B</vt:lpwstr>
  </property>
  <property fmtid="{D5CDD505-2E9C-101B-9397-08002B2CF9AE}" pid="4" name="KSOTemplateDocerSaveRecord">
    <vt:lpwstr>eyJoZGlkIjoiMjc5MzBjMzRhZmY4ZjBiNTUwOGE3MTIwOGM3NTk1MWQiLCJ1c2VySWQiOiIyNjU5NjEyMSJ9</vt:lpwstr>
  </property>
</Properties>
</file>