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D74EB">
      <w:pPr>
        <w:spacing w:line="360" w:lineRule="auto"/>
        <w:ind w:firstLine="723" w:firstLineChars="200"/>
        <w:jc w:val="center"/>
        <w:rPr>
          <w:rFonts w:eastAsiaTheme="minorEastAsia"/>
          <w:b/>
          <w:color w:val="auto"/>
          <w:sz w:val="36"/>
          <w:szCs w:val="36"/>
        </w:rPr>
      </w:pPr>
      <w:r>
        <w:rPr>
          <w:rFonts w:hint="eastAsia" w:eastAsiaTheme="minorEastAsia"/>
          <w:b/>
          <w:color w:val="auto"/>
          <w:sz w:val="36"/>
          <w:szCs w:val="36"/>
          <w:lang w:val="zh-CN"/>
        </w:rPr>
        <w:t>安庆汇辰科技有限公司年产5000吨锂电池电解液添加剂及年产50吨奈玛特韦原料药、150吨关键中间体建设项目</w:t>
      </w:r>
      <w:r>
        <w:rPr>
          <w:rFonts w:hint="eastAsia" w:eastAsiaTheme="minorEastAsia"/>
          <w:b/>
          <w:color w:val="auto"/>
          <w:sz w:val="36"/>
          <w:szCs w:val="36"/>
          <w:lang w:val="en-US" w:eastAsia="zh-CN"/>
        </w:rPr>
        <w:t>阶段性</w:t>
      </w:r>
      <w:r>
        <w:rPr>
          <w:rFonts w:eastAsiaTheme="minorEastAsia"/>
          <w:b/>
          <w:color w:val="auto"/>
          <w:sz w:val="36"/>
          <w:szCs w:val="36"/>
        </w:rPr>
        <w:t>竣工环境保护验收意见</w:t>
      </w:r>
    </w:p>
    <w:p w14:paraId="2CD132F6">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eastAsia="zh-CN"/>
        </w:rPr>
        <w:t>月</w:t>
      </w:r>
      <w:r>
        <w:rPr>
          <w:rFonts w:hint="eastAsia" w:ascii="Times New Roman" w:hAnsi="Times New Roman" w:eastAsia="宋体" w:cs="Times New Roman"/>
          <w:sz w:val="24"/>
          <w:szCs w:val="24"/>
          <w:highlight w:val="none"/>
          <w:lang w:val="en-US" w:eastAsia="zh-CN"/>
        </w:rPr>
        <w:t>28</w:t>
      </w:r>
      <w:r>
        <w:rPr>
          <w:rFonts w:hint="eastAsia" w:ascii="Times New Roman" w:hAnsi="Times New Roman" w:eastAsia="宋体" w:cs="Times New Roman"/>
          <w:sz w:val="24"/>
          <w:szCs w:val="24"/>
          <w:highlight w:val="none"/>
          <w:lang w:eastAsia="zh-CN"/>
        </w:rPr>
        <w:t>日，安庆汇辰科技有限公司在</w:t>
      </w:r>
      <w:r>
        <w:rPr>
          <w:rFonts w:hint="eastAsia" w:ascii="Times New Roman" w:hAnsi="Times New Roman" w:eastAsia="宋体" w:cs="Times New Roman"/>
          <w:sz w:val="24"/>
          <w:szCs w:val="24"/>
          <w:highlight w:val="none"/>
          <w:lang w:val="en-US" w:eastAsia="zh-CN"/>
        </w:rPr>
        <w:t>安庆市</w:t>
      </w:r>
      <w:r>
        <w:rPr>
          <w:rFonts w:hint="eastAsia" w:ascii="Times New Roman" w:hAnsi="Times New Roman" w:eastAsia="宋体" w:cs="Times New Roman"/>
          <w:sz w:val="24"/>
          <w:szCs w:val="24"/>
          <w:highlight w:val="none"/>
          <w:lang w:eastAsia="zh-CN"/>
        </w:rPr>
        <w:t>主持召开了安庆汇辰科技有限公司</w:t>
      </w:r>
      <w:r>
        <w:rPr>
          <w:rFonts w:hint="eastAsia" w:cs="Times New Roman"/>
          <w:sz w:val="24"/>
          <w:szCs w:val="24"/>
          <w:highlight w:val="none"/>
          <w:lang w:eastAsia="zh-CN"/>
        </w:rPr>
        <w:t>年产5000吨锂电池电解液添加剂及年产50吨奈玛特韦原料药、150吨关键中间体建设项目</w:t>
      </w:r>
      <w:r>
        <w:rPr>
          <w:rFonts w:hint="eastAsia" w:ascii="Times New Roman" w:hAnsi="Times New Roman" w:eastAsia="宋体" w:cs="Times New Roman"/>
          <w:sz w:val="24"/>
          <w:szCs w:val="24"/>
          <w:highlight w:val="none"/>
          <w:lang w:eastAsia="zh-CN"/>
        </w:rPr>
        <w:t>竣工环境保护验收现场会，根据安庆汇辰科技有限公司</w:t>
      </w:r>
      <w:r>
        <w:rPr>
          <w:rFonts w:hint="eastAsia" w:cs="Times New Roman"/>
          <w:sz w:val="24"/>
          <w:szCs w:val="24"/>
          <w:highlight w:val="none"/>
          <w:lang w:eastAsia="zh-CN"/>
        </w:rPr>
        <w:t>年产5000吨锂电池电解液添加剂及年产50吨奈玛特韦原料药、150吨关键中间体建设项目</w:t>
      </w:r>
      <w:r>
        <w:rPr>
          <w:rFonts w:hint="default" w:ascii="Times New Roman" w:hAnsi="Times New Roman" w:eastAsia="宋体" w:cs="Times New Roman"/>
          <w:sz w:val="24"/>
          <w:szCs w:val="24"/>
          <w:highlight w:val="none"/>
          <w:lang w:eastAsia="zh-CN"/>
        </w:rPr>
        <w:t>竣工环境保护</w:t>
      </w:r>
      <w:r>
        <w:rPr>
          <w:rFonts w:hint="eastAsia" w:ascii="Times New Roman" w:hAnsi="Times New Roman" w:eastAsia="宋体" w:cs="Times New Roman"/>
          <w:sz w:val="24"/>
          <w:szCs w:val="24"/>
          <w:highlight w:val="none"/>
          <w:lang w:eastAsia="zh-CN"/>
        </w:rPr>
        <w:t>验收监测报告（表）并对照《建设项目竣工环境保护验收暂行办法》，严格依照国家有关法律法规、建设项目竣工环境保护验收技术规范/指南、本项目环境影响评价报告表和审批部门审批决定等要求对本项目进行</w:t>
      </w:r>
      <w:r>
        <w:rPr>
          <w:rFonts w:hint="eastAsia" w:cs="Times New Roman"/>
          <w:sz w:val="24"/>
          <w:szCs w:val="24"/>
          <w:highlight w:val="none"/>
          <w:lang w:val="en-US" w:eastAsia="zh-CN"/>
        </w:rPr>
        <w:t>阶段性</w:t>
      </w:r>
      <w:r>
        <w:rPr>
          <w:rFonts w:hint="eastAsia" w:ascii="Times New Roman" w:hAnsi="Times New Roman" w:eastAsia="宋体" w:cs="Times New Roman"/>
          <w:sz w:val="24"/>
          <w:szCs w:val="24"/>
          <w:highlight w:val="none"/>
          <w:lang w:eastAsia="zh-CN"/>
        </w:rPr>
        <w:t>验收，提出意见如下：</w:t>
      </w:r>
    </w:p>
    <w:p w14:paraId="4D3D8D14">
      <w:pPr>
        <w:pStyle w:val="25"/>
        <w:spacing w:before="0" w:beforeAutospacing="0" w:after="0" w:afterAutospacing="0" w:line="360" w:lineRule="auto"/>
        <w:ind w:firstLine="562" w:firstLineChars="200"/>
        <w:outlineLvl w:val="0"/>
        <w:rPr>
          <w:b/>
          <w:color w:val="auto"/>
          <w:sz w:val="28"/>
          <w:szCs w:val="28"/>
        </w:rPr>
      </w:pPr>
      <w:r>
        <w:rPr>
          <w:rFonts w:hint="eastAsia"/>
          <w:b/>
          <w:color w:val="auto"/>
          <w:sz w:val="28"/>
          <w:szCs w:val="28"/>
        </w:rPr>
        <w:t>一、工程建设基本情况</w:t>
      </w:r>
    </w:p>
    <w:p w14:paraId="3628FA73">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（一）建设地点、规模、主要建设内容</w:t>
      </w:r>
    </w:p>
    <w:p w14:paraId="16541B86">
      <w:pPr>
        <w:pStyle w:val="7"/>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安庆汇辰科技有限公司曾用名安庆汇辰药业有限公司，成立于2019年9月，位于</w:t>
      </w:r>
      <w:r>
        <w:rPr>
          <w:rFonts w:hint="default" w:ascii="Times New Roman" w:hAnsi="Times New Roman" w:eastAsia="宋体" w:cs="Times New Roman"/>
          <w:sz w:val="24"/>
          <w:szCs w:val="24"/>
          <w:highlight w:val="none"/>
          <w:lang w:eastAsia="zh-CN"/>
        </w:rPr>
        <w:t>安庆高新技术产业开发区丁香路99号</w:t>
      </w:r>
      <w:r>
        <w:rPr>
          <w:rFonts w:hint="eastAsia" w:ascii="Times New Roman" w:hAnsi="Times New Roman" w:eastAsia="宋体" w:cs="Times New Roman"/>
          <w:sz w:val="24"/>
          <w:szCs w:val="24"/>
          <w:highlight w:val="none"/>
          <w:lang w:eastAsia="zh-CN"/>
        </w:rPr>
        <w:t>，主要专用化学产品制造、电子专用材料制造</w:t>
      </w:r>
      <w:r>
        <w:rPr>
          <w:rFonts w:hint="eastAsia" w:ascii="Times New Roman" w:hAnsi="Times New Roman" w:eastAsia="宋体" w:cs="Times New Roman"/>
          <w:sz w:val="24"/>
          <w:szCs w:val="24"/>
          <w:highlight w:val="none"/>
          <w:lang w:val="en-US" w:eastAsia="zh-CN"/>
        </w:rPr>
        <w:t>。公司投资建设《</w:t>
      </w:r>
      <w:r>
        <w:rPr>
          <w:rFonts w:hint="eastAsia" w:cs="Times New Roman"/>
          <w:sz w:val="24"/>
          <w:szCs w:val="24"/>
          <w:highlight w:val="none"/>
          <w:lang w:val="en-US" w:eastAsia="zh-CN"/>
        </w:rPr>
        <w:t>年产5000吨锂电池电解液添加剂及年产50吨奈玛特韦原料药、150吨关键中</w:t>
      </w:r>
      <w:r>
        <w:rPr>
          <w:rFonts w:hint="eastAsia" w:ascii="Times New Roman" w:hAnsi="Times New Roman" w:eastAsia="宋体" w:cs="Times New Roman"/>
          <w:sz w:val="24"/>
          <w:szCs w:val="24"/>
          <w:highlight w:val="none"/>
          <w:lang w:val="en-US" w:eastAsia="zh-CN"/>
        </w:rPr>
        <w:t>间体建设项目》，本项目中仅生产</w:t>
      </w:r>
      <w:r>
        <w:rPr>
          <w:rFonts w:hint="default" w:ascii="Times New Roman" w:hAnsi="Times New Roman" w:eastAsia="宋体" w:cs="Times New Roman"/>
          <w:sz w:val="24"/>
          <w:szCs w:val="24"/>
          <w:highlight w:val="none"/>
          <w:lang w:eastAsia="zh-CN"/>
        </w:rPr>
        <w:t>年产5000吨锂电池电解液添加剂</w:t>
      </w:r>
      <w:r>
        <w:rPr>
          <w:rFonts w:hint="default" w:ascii="Times New Roman" w:hAnsi="Times New Roman" w:eastAsia="宋体" w:cs="Times New Roman"/>
          <w:sz w:val="24"/>
          <w:szCs w:val="24"/>
          <w:highlight w:val="none"/>
          <w:lang w:val="en-US" w:eastAsia="zh-CN"/>
        </w:rPr>
        <w:t>中的VC生产线</w:t>
      </w:r>
      <w:r>
        <w:rPr>
          <w:rFonts w:hint="eastAsia" w:ascii="Times New Roman" w:hAnsi="Times New Roman" w:eastAsia="宋体" w:cs="Times New Roman"/>
          <w:sz w:val="24"/>
          <w:szCs w:val="24"/>
          <w:highlight w:val="none"/>
          <w:lang w:val="en-US" w:eastAsia="zh-CN"/>
        </w:rPr>
        <w:t>，项目建成后年产3000吨</w:t>
      </w:r>
      <w:r>
        <w:rPr>
          <w:rFonts w:hint="default" w:ascii="Times New Roman" w:hAnsi="Times New Roman" w:eastAsia="宋体" w:cs="Times New Roman"/>
          <w:sz w:val="24"/>
          <w:szCs w:val="24"/>
          <w:highlight w:val="none"/>
          <w:lang w:val="en-US" w:eastAsia="zh-CN"/>
        </w:rPr>
        <w:t>碳酸亚乙烯酯(VC)</w:t>
      </w:r>
      <w:r>
        <w:rPr>
          <w:rFonts w:hint="eastAsia" w:ascii="Times New Roman" w:hAnsi="Times New Roman" w:eastAsia="宋体" w:cs="Times New Roman"/>
          <w:sz w:val="24"/>
          <w:szCs w:val="24"/>
          <w:highlight w:val="none"/>
          <w:lang w:val="en-US" w:eastAsia="zh-CN"/>
        </w:rPr>
        <w:t>，其余均不再建设。</w:t>
      </w:r>
    </w:p>
    <w:p w14:paraId="2CA612D4">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（二）建设过程及环保审批情况</w:t>
      </w:r>
    </w:p>
    <w:p w14:paraId="28936F85">
      <w:pPr>
        <w:pStyle w:val="7"/>
        <w:spacing w:before="0" w:line="360" w:lineRule="auto"/>
        <w:ind w:firstLine="480"/>
        <w:rPr>
          <w:rFonts w:hint="eastAsia" w:ascii="Times New Roman" w:hAnsi="Times New Roman" w:eastAsia="宋体" w:cs="Times New Roman"/>
          <w:kern w:val="2"/>
          <w:sz w:val="24"/>
          <w:szCs w:val="24"/>
          <w:lang w:eastAsia="zh-CN"/>
        </w:rPr>
      </w:pPr>
      <w:r>
        <w:rPr>
          <w:rFonts w:hint="eastAsia" w:ascii="Times New Roman" w:hAnsi="Times New Roman" w:eastAsia="宋体" w:cs="Times New Roman"/>
          <w:sz w:val="24"/>
          <w:szCs w:val="24"/>
          <w:highlight w:val="none"/>
          <w:lang w:eastAsia="zh-CN"/>
        </w:rPr>
        <w:t>项目20</w:t>
      </w:r>
      <w:r>
        <w:rPr>
          <w:rFonts w:hint="eastAsia" w:ascii="Times New Roman" w:hAnsi="Times New Roman" w:eastAsia="宋体" w:cs="Times New Roman"/>
          <w:sz w:val="24"/>
          <w:szCs w:val="24"/>
          <w:highlight w:val="none"/>
          <w:lang w:val="en-US" w:eastAsia="zh-CN"/>
        </w:rPr>
        <w:t>2</w:t>
      </w:r>
      <w:r>
        <w:rPr>
          <w:rFonts w:hint="eastAsia" w:cs="Times New Roman"/>
          <w:sz w:val="24"/>
          <w:szCs w:val="24"/>
          <w:highlight w:val="none"/>
          <w:lang w:val="en-US" w:eastAsia="zh-CN"/>
        </w:rPr>
        <w:t>2</w:t>
      </w:r>
      <w:r>
        <w:rPr>
          <w:rFonts w:hint="eastAsia" w:ascii="Times New Roman" w:hAnsi="Times New Roman" w:eastAsia="宋体" w:cs="Times New Roman"/>
          <w:sz w:val="24"/>
          <w:szCs w:val="24"/>
          <w:highlight w:val="none"/>
          <w:lang w:eastAsia="zh-CN"/>
        </w:rPr>
        <w:t>年</w:t>
      </w:r>
      <w:r>
        <w:rPr>
          <w:rFonts w:hint="eastAsia" w:cs="Times New Roman"/>
          <w:sz w:val="24"/>
          <w:szCs w:val="24"/>
          <w:highlight w:val="none"/>
          <w:lang w:val="en-US" w:eastAsia="zh-CN"/>
        </w:rPr>
        <w:t>7</w:t>
      </w:r>
      <w:r>
        <w:rPr>
          <w:rFonts w:hint="eastAsia" w:ascii="Times New Roman" w:hAnsi="Times New Roman" w:eastAsia="宋体" w:cs="Times New Roman"/>
          <w:sz w:val="24"/>
          <w:szCs w:val="24"/>
          <w:highlight w:val="none"/>
          <w:lang w:eastAsia="zh-CN"/>
        </w:rPr>
        <w:t>月申办环评，</w:t>
      </w:r>
      <w:r>
        <w:rPr>
          <w:rFonts w:hint="default" w:ascii="Times New Roman" w:hAnsi="Times New Roman" w:eastAsia="宋体" w:cs="Times New Roman"/>
          <w:sz w:val="24"/>
          <w:szCs w:val="24"/>
          <w:highlight w:val="none"/>
          <w:lang w:eastAsia="zh-CN"/>
        </w:rPr>
        <w:t>并</w:t>
      </w:r>
      <w:r>
        <w:rPr>
          <w:rFonts w:hint="eastAsia" w:cs="Times New Roman"/>
          <w:sz w:val="24"/>
          <w:szCs w:val="24"/>
          <w:highlight w:val="none"/>
          <w:lang w:val="en-US" w:eastAsia="zh-CN"/>
        </w:rPr>
        <w:t>于</w:t>
      </w:r>
      <w:r>
        <w:rPr>
          <w:rFonts w:hint="default" w:ascii="Times New Roman" w:hAnsi="Times New Roman" w:eastAsia="宋体" w:cs="Times New Roman"/>
          <w:kern w:val="2"/>
          <w:sz w:val="24"/>
          <w:szCs w:val="24"/>
        </w:rPr>
        <w:t>2022年8月取得安庆市生态环境局环评批复(宜环建函【2022】34号)</w:t>
      </w:r>
      <w:r>
        <w:rPr>
          <w:rFonts w:hint="eastAsia" w:ascii="Times New Roman" w:hAnsi="Times New Roman" w:eastAsia="宋体" w:cs="Times New Roman"/>
          <w:kern w:val="2"/>
          <w:sz w:val="24"/>
          <w:szCs w:val="24"/>
          <w:lang w:eastAsia="zh-CN"/>
        </w:rPr>
        <w:t>。</w:t>
      </w:r>
    </w:p>
    <w:p w14:paraId="31045A5E">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kern w:val="0"/>
          <w:sz w:val="24"/>
          <w:highlight w:val="none"/>
          <w:lang w:val="en-US" w:eastAsia="zh-CN"/>
        </w:rPr>
        <w:t>2024年10月21日，</w:t>
      </w:r>
      <w:r>
        <w:rPr>
          <w:rFonts w:hint="default" w:ascii="Times New Roman" w:hAnsi="Times New Roman" w:eastAsia="宋体" w:cs="Times New Roman"/>
          <w:kern w:val="0"/>
          <w:sz w:val="24"/>
          <w:highlight w:val="none"/>
          <w:lang w:eastAsia="zh-CN"/>
        </w:rPr>
        <w:t>安庆汇辰科技有限公司</w:t>
      </w:r>
      <w:r>
        <w:rPr>
          <w:rFonts w:hint="eastAsia" w:ascii="Times New Roman" w:hAnsi="Times New Roman" w:eastAsia="宋体" w:cs="Times New Roman"/>
          <w:kern w:val="0"/>
          <w:sz w:val="24"/>
          <w:highlight w:val="none"/>
          <w:lang w:val="en-US" w:eastAsia="zh-CN"/>
        </w:rPr>
        <w:t>申领了排污许可证，证书编号：</w:t>
      </w:r>
      <w:r>
        <w:rPr>
          <w:rFonts w:hint="default" w:ascii="Times New Roman" w:hAnsi="Times New Roman" w:eastAsia="宋体" w:cs="Times New Roman"/>
          <w:kern w:val="0"/>
          <w:sz w:val="24"/>
          <w:highlight w:val="none"/>
          <w:lang w:val="en-US" w:eastAsia="zh-CN"/>
        </w:rPr>
        <w:t>91340805MA2U38E48C001Q</w:t>
      </w:r>
      <w:r>
        <w:rPr>
          <w:rFonts w:hint="eastAsia" w:ascii="Times New Roman" w:hAnsi="Times New Roman" w:eastAsia="宋体" w:cs="Times New Roman"/>
          <w:kern w:val="0"/>
          <w:sz w:val="24"/>
          <w:highlight w:val="none"/>
          <w:lang w:val="en-US" w:eastAsia="zh-CN"/>
        </w:rPr>
        <w:t>。</w:t>
      </w:r>
    </w:p>
    <w:p w14:paraId="41E1BE98">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安庆中品检测技术有限公司（CMA编号：241212052301）于2026年4月14日~4月23日组织对项目环境保护设施的污染物排放情况进行了全面的调查和监测。</w:t>
      </w:r>
    </w:p>
    <w:p w14:paraId="2DB47BC7">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三</w:t>
      </w: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投资情况</w:t>
      </w:r>
    </w:p>
    <w:p w14:paraId="39CA5E22">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w:t>
      </w:r>
      <w:r>
        <w:rPr>
          <w:rFonts w:hint="default" w:ascii="Times New Roman" w:hAnsi="Times New Roman" w:eastAsia="宋体" w:cs="Times New Roman"/>
          <w:sz w:val="24"/>
          <w:szCs w:val="24"/>
          <w:highlight w:val="none"/>
          <w:lang w:eastAsia="zh-CN"/>
        </w:rPr>
        <w:t>项目</w:t>
      </w:r>
      <w:r>
        <w:rPr>
          <w:rFonts w:hint="eastAsia" w:ascii="Times New Roman" w:hAnsi="Times New Roman" w:eastAsia="宋体" w:cs="Times New Roman"/>
          <w:sz w:val="24"/>
          <w:szCs w:val="24"/>
          <w:highlight w:val="none"/>
          <w:lang w:eastAsia="zh-CN"/>
        </w:rPr>
        <w:t>实际</w:t>
      </w:r>
      <w:r>
        <w:rPr>
          <w:rFonts w:hint="default" w:ascii="Times New Roman" w:hAnsi="Times New Roman" w:eastAsia="宋体" w:cs="Times New Roman"/>
          <w:sz w:val="24"/>
          <w:szCs w:val="24"/>
          <w:highlight w:val="none"/>
          <w:lang w:eastAsia="zh-CN"/>
        </w:rPr>
        <w:t>总投资</w:t>
      </w:r>
      <w:r>
        <w:rPr>
          <w:rFonts w:hint="eastAsia" w:ascii="Times New Roman" w:hAnsi="Times New Roman" w:eastAsia="宋体" w:cs="Times New Roman"/>
          <w:sz w:val="24"/>
          <w:szCs w:val="24"/>
          <w:highlight w:val="none"/>
          <w:lang w:eastAsia="zh-CN"/>
        </w:rPr>
        <w:t>额</w:t>
      </w:r>
      <w:r>
        <w:rPr>
          <w:rFonts w:hint="default" w:ascii="Times New Roman" w:hAnsi="Times New Roman" w:eastAsia="宋体" w:cs="Times New Roman"/>
          <w:sz w:val="24"/>
          <w:szCs w:val="24"/>
          <w:highlight w:val="none"/>
          <w:lang w:eastAsia="zh-CN"/>
        </w:rPr>
        <w:t>为</w:t>
      </w:r>
      <w:r>
        <w:rPr>
          <w:rFonts w:hint="eastAsia" w:cs="Times New Roman"/>
          <w:sz w:val="24"/>
          <w:szCs w:val="24"/>
          <w:highlight w:val="none"/>
          <w:lang w:val="en-US" w:eastAsia="zh-CN"/>
        </w:rPr>
        <w:t>40000</w:t>
      </w:r>
      <w:r>
        <w:rPr>
          <w:rFonts w:hint="default" w:ascii="Times New Roman" w:hAnsi="Times New Roman" w:eastAsia="宋体" w:cs="Times New Roman"/>
          <w:sz w:val="24"/>
          <w:szCs w:val="24"/>
          <w:highlight w:val="none"/>
          <w:lang w:eastAsia="zh-CN"/>
        </w:rPr>
        <w:t>万元，其中环保投资</w:t>
      </w:r>
      <w:r>
        <w:rPr>
          <w:rFonts w:hint="eastAsia" w:cs="Times New Roman"/>
          <w:sz w:val="24"/>
          <w:szCs w:val="24"/>
          <w:highlight w:val="none"/>
          <w:lang w:val="en-US" w:eastAsia="zh-CN"/>
        </w:rPr>
        <w:t>1292</w:t>
      </w:r>
      <w:r>
        <w:rPr>
          <w:rFonts w:hint="default" w:ascii="Times New Roman" w:hAnsi="Times New Roman" w:eastAsia="宋体" w:cs="Times New Roman"/>
          <w:sz w:val="24"/>
          <w:szCs w:val="24"/>
          <w:highlight w:val="none"/>
          <w:lang w:eastAsia="zh-CN"/>
        </w:rPr>
        <w:t>万元。</w:t>
      </w:r>
    </w:p>
    <w:p w14:paraId="5C433AA3">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eastAsia="zh-CN"/>
        </w:rPr>
        <w:t>四</w:t>
      </w:r>
      <w:r>
        <w:rPr>
          <w:rFonts w:hint="default" w:ascii="Times New Roman" w:hAnsi="Times New Roman" w:eastAsia="宋体" w:cs="Times New Roman"/>
          <w:sz w:val="24"/>
          <w:szCs w:val="24"/>
          <w:highlight w:val="none"/>
          <w:lang w:eastAsia="zh-CN"/>
        </w:rPr>
        <w:t>）验收范围</w:t>
      </w:r>
    </w:p>
    <w:p w14:paraId="205C8419">
      <w:pPr>
        <w:pStyle w:val="7"/>
        <w:spacing w:before="0" w:line="360" w:lineRule="auto"/>
        <w:ind w:firstLine="480"/>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本次验收范围包括年产5000吨锂电池电解液添加剂及年产50吨奈玛特韦原料药、150吨关键中间体建设项目</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eastAsia="zh-CN"/>
        </w:rPr>
        <w:t>年产5000吨锂电池电解液添加剂</w:t>
      </w:r>
      <w:r>
        <w:rPr>
          <w:rFonts w:hint="eastAsia" w:ascii="Times New Roman" w:hAnsi="Times New Roman" w:eastAsia="宋体" w:cs="Times New Roman"/>
          <w:sz w:val="24"/>
          <w:szCs w:val="24"/>
          <w:highlight w:val="none"/>
          <w:lang w:val="en-US" w:eastAsia="zh-CN"/>
        </w:rPr>
        <w:t>-VC生产线中的全部</w:t>
      </w:r>
      <w:r>
        <w:rPr>
          <w:rFonts w:hint="default" w:ascii="Times New Roman" w:hAnsi="Times New Roman" w:eastAsia="宋体" w:cs="Times New Roman"/>
          <w:sz w:val="24"/>
          <w:szCs w:val="24"/>
          <w:highlight w:val="none"/>
          <w:lang w:eastAsia="zh-CN"/>
        </w:rPr>
        <w:t>工程内容</w:t>
      </w:r>
      <w:r>
        <w:rPr>
          <w:rFonts w:hint="default" w:ascii="Times New Roman" w:hAnsi="Times New Roman" w:eastAsia="宋体" w:cs="Times New Roman"/>
          <w:sz w:val="24"/>
          <w:szCs w:val="24"/>
          <w:highlight w:val="none"/>
          <w:lang w:val="en-US" w:eastAsia="zh-CN"/>
        </w:rPr>
        <w:t>。</w:t>
      </w:r>
    </w:p>
    <w:p w14:paraId="1507A433">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二、工程变动情况</w:t>
      </w:r>
    </w:p>
    <w:p w14:paraId="6DAFA4D4">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对照《污染影响类建设项目重大变动清单（试行）》，本项目无重大变更，因此无需重新报批环评。</w:t>
      </w:r>
    </w:p>
    <w:p w14:paraId="76C3341B">
      <w:pPr>
        <w:pStyle w:val="28"/>
        <w:keepNext w:val="0"/>
        <w:keepLines w:val="0"/>
        <w:suppressLineNumbers w:val="0"/>
        <w:bidi w:val="0"/>
        <w:spacing w:before="0" w:beforeAutospacing="0" w:after="0" w:afterAutospacing="0"/>
        <w:ind w:left="0" w:right="0"/>
        <w:rPr>
          <w:rFonts w:hint="eastAsia" w:ascii="宋体" w:hAnsi="宋体" w:eastAsia="Times New Roman" w:cs="Times New Roman"/>
          <w:sz w:val="24"/>
          <w:szCs w:val="24"/>
          <w:lang w:eastAsia="zh-CN"/>
        </w:rPr>
      </w:pPr>
      <w:r>
        <w:rPr>
          <w:rFonts w:hint="eastAsia" w:ascii="宋体" w:hAnsi="宋体" w:eastAsia="Times New Roman" w:cs="Times New Roman"/>
          <w:sz w:val="24"/>
          <w:szCs w:val="24"/>
          <w:lang w:eastAsia="zh-CN"/>
        </w:rPr>
        <w:t>表</w:t>
      </w:r>
      <w:r>
        <w:rPr>
          <w:rFonts w:hint="eastAsia" w:ascii="宋体" w:hAnsi="宋体" w:cs="Times New Roman"/>
          <w:sz w:val="24"/>
          <w:szCs w:val="24"/>
          <w:lang w:val="en-US" w:eastAsia="zh-CN"/>
        </w:rPr>
        <w:t>1</w:t>
      </w:r>
      <w:r>
        <w:rPr>
          <w:rFonts w:hint="eastAsia" w:ascii="宋体" w:hAnsi="宋体" w:eastAsia="Times New Roman" w:cs="Times New Roman"/>
          <w:sz w:val="24"/>
          <w:szCs w:val="24"/>
          <w:lang w:eastAsia="zh-CN"/>
        </w:rPr>
        <w:t xml:space="preserve"> 项目变动与《污染影响类建设项目重大变动清单（试行）》对照表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
        <w:gridCol w:w="2258"/>
        <w:gridCol w:w="2392"/>
        <w:gridCol w:w="1845"/>
        <w:gridCol w:w="1679"/>
      </w:tblGrid>
      <w:tr w14:paraId="2F9C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348" w:type="dxa"/>
            <w:noWrap w:val="0"/>
            <w:vAlign w:val="center"/>
          </w:tcPr>
          <w:p w14:paraId="0A971BC1">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序号</w:t>
            </w:r>
          </w:p>
        </w:tc>
        <w:tc>
          <w:tcPr>
            <w:tcW w:w="2258" w:type="dxa"/>
            <w:noWrap w:val="0"/>
            <w:vAlign w:val="center"/>
          </w:tcPr>
          <w:p w14:paraId="6D7A0622">
            <w:pPr>
              <w:pStyle w:val="33"/>
              <w:keepNext w:val="0"/>
              <w:keepLines w:val="0"/>
              <w:pageBreakBefore w:val="0"/>
              <w:widowControl/>
              <w:kinsoku/>
              <w:wordWrap/>
              <w:overflowPunct/>
              <w:topLinePunct w:val="0"/>
              <w:bidi w:val="0"/>
              <w:adjustRightInd w:val="0"/>
              <w:snapToGrid w:val="0"/>
              <w:spacing w:after="0"/>
              <w:ind w:firstLine="0" w:firstLineChars="0"/>
              <w:jc w:val="center"/>
              <w:rPr>
                <w:rFonts w:hint="default" w:ascii="Times New Roman" w:hAnsi="Times New Roman" w:cs="Times New Roman"/>
              </w:rPr>
            </w:pPr>
            <w:r>
              <w:rPr>
                <w:rFonts w:hint="default" w:ascii="Times New Roman" w:hAnsi="Times New Roman" w:cs="Times New Roman"/>
              </w:rPr>
              <w:t>《污染影响类建设项目重大变动清单（试行）》</w:t>
            </w:r>
          </w:p>
        </w:tc>
        <w:tc>
          <w:tcPr>
            <w:tcW w:w="2392" w:type="dxa"/>
            <w:noWrap w:val="0"/>
            <w:vAlign w:val="center"/>
          </w:tcPr>
          <w:p w14:paraId="4A1516F7">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环评设计内容</w:t>
            </w:r>
          </w:p>
        </w:tc>
        <w:tc>
          <w:tcPr>
            <w:tcW w:w="1845" w:type="dxa"/>
            <w:noWrap w:val="0"/>
            <w:vAlign w:val="center"/>
          </w:tcPr>
          <w:p w14:paraId="2766D77C">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实际建设内容</w:t>
            </w:r>
          </w:p>
        </w:tc>
        <w:tc>
          <w:tcPr>
            <w:tcW w:w="1679" w:type="dxa"/>
            <w:noWrap w:val="0"/>
            <w:vAlign w:val="center"/>
          </w:tcPr>
          <w:p w14:paraId="7E198FB7">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lang w:eastAsia="zh-CN"/>
              </w:rPr>
            </w:pPr>
            <w:r>
              <w:rPr>
                <w:rFonts w:hint="default" w:ascii="Times New Roman" w:hAnsi="Times New Roman" w:cs="Times New Roman"/>
                <w:lang w:eastAsia="zh-CN"/>
              </w:rPr>
              <w:t>是否发生重大变动</w:t>
            </w:r>
          </w:p>
        </w:tc>
      </w:tr>
      <w:tr w14:paraId="27BF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348" w:type="dxa"/>
            <w:noWrap w:val="0"/>
            <w:vAlign w:val="center"/>
          </w:tcPr>
          <w:p w14:paraId="7AEF33BF">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rPr>
            </w:pPr>
            <w:r>
              <w:rPr>
                <w:rFonts w:hint="default" w:ascii="Times New Roman" w:hAnsi="Times New Roman" w:cs="Times New Roman"/>
              </w:rPr>
              <w:t>1</w:t>
            </w:r>
          </w:p>
        </w:tc>
        <w:tc>
          <w:tcPr>
            <w:tcW w:w="2258" w:type="dxa"/>
            <w:noWrap w:val="0"/>
            <w:vAlign w:val="top"/>
          </w:tcPr>
          <w:p w14:paraId="45FE478E">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1.生产、处置或储存能力增大30%及以上的。</w:t>
            </w:r>
          </w:p>
          <w:p w14:paraId="56F31EC8">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2.生产、处置或储存能力增大，导致废水第一类污染物排放量增加的。</w:t>
            </w:r>
          </w:p>
          <w:p w14:paraId="12CE4D4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3.位于环境质量不达标区的建设项目生产、处置或储存能力增大，导致相应污染物排放量增加的</w:t>
            </w:r>
          </w:p>
        </w:tc>
        <w:tc>
          <w:tcPr>
            <w:tcW w:w="2392" w:type="dxa"/>
            <w:noWrap w:val="0"/>
            <w:vAlign w:val="center"/>
          </w:tcPr>
          <w:p w14:paraId="5A571BC6">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一阶段产品:3000t/a碳酸亚乙烯酯(VC)，1000t/a氟代碳酸乙烯酯(FEC)、500t/a二氟代碳酸乙烯酯(DFEC)、500t/a硫酸乙烯酯(DTD);副产:2277t/a氯化钠、370t/a碳酸乙烯酯(EC)、490t/a二氯代碳酸乙烯酯。二阶段产品:50t/a奈玛特韦、50t/a中间体(CP-W1001)、100t/a中间体(PF-B-07);副产:75t/a 30%盐酸、270t/a氯化钠、300t/a硫酸铵、810t/a氢溴酸。</w:t>
            </w:r>
          </w:p>
        </w:tc>
        <w:tc>
          <w:tcPr>
            <w:tcW w:w="1845" w:type="dxa"/>
            <w:noWrap w:val="0"/>
            <w:vAlign w:val="center"/>
          </w:tcPr>
          <w:p w14:paraId="288E70F6">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3000t/a碳酸亚乙烯酯(VC)</w:t>
            </w:r>
          </w:p>
        </w:tc>
        <w:tc>
          <w:tcPr>
            <w:tcW w:w="1679" w:type="dxa"/>
            <w:noWrap w:val="0"/>
            <w:vAlign w:val="center"/>
          </w:tcPr>
          <w:p w14:paraId="1EE32EA2">
            <w:pPr>
              <w:keepNext w:val="0"/>
              <w:keepLines w:val="0"/>
              <w:pageBreakBefore w:val="0"/>
              <w:widowControl/>
              <w:numPr>
                <w:ilvl w:val="0"/>
                <w:numId w:val="0"/>
              </w:numPr>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生产、处置或储存能力</w:t>
            </w:r>
            <w:r>
              <w:rPr>
                <w:rFonts w:hint="eastAsia" w:ascii="Times New Roman" w:hAnsi="Times New Roman" w:eastAsia="宋体" w:cs="Times New Roman"/>
                <w:sz w:val="21"/>
                <w:szCs w:val="20"/>
                <w:lang w:val="en-US" w:eastAsia="zh-CN" w:bidi="ar-SA"/>
              </w:rPr>
              <w:t>减小</w:t>
            </w:r>
            <w:r>
              <w:rPr>
                <w:rFonts w:hint="default" w:ascii="Times New Roman" w:hAnsi="Times New Roman" w:eastAsia="宋体" w:cs="Times New Roman"/>
                <w:sz w:val="21"/>
                <w:szCs w:val="20"/>
                <w:lang w:val="en-US" w:eastAsia="zh-CN" w:bidi="ar-SA"/>
              </w:rPr>
              <w:t>，不属于重大变动</w:t>
            </w:r>
          </w:p>
        </w:tc>
      </w:tr>
      <w:tr w14:paraId="7C38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348" w:type="dxa"/>
            <w:noWrap w:val="0"/>
            <w:vAlign w:val="center"/>
          </w:tcPr>
          <w:p w14:paraId="07D8F20E">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lang w:val="en-US" w:eastAsia="zh-CN"/>
              </w:rPr>
            </w:pPr>
            <w:r>
              <w:rPr>
                <w:rFonts w:hint="default" w:ascii="Times New Roman" w:hAnsi="Times New Roman" w:cs="Times New Roman"/>
                <w:lang w:val="en-US" w:eastAsia="zh-CN"/>
              </w:rPr>
              <w:t>2</w:t>
            </w:r>
          </w:p>
        </w:tc>
        <w:tc>
          <w:tcPr>
            <w:tcW w:w="2258" w:type="dxa"/>
            <w:noWrap w:val="0"/>
            <w:vAlign w:val="top"/>
          </w:tcPr>
          <w:p w14:paraId="6C6E970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新增产品品种或生产工艺(含主要生产装置、设备及配套设施)、主要原辅材料、燃料变化，导致以下情形之一：</w:t>
            </w:r>
          </w:p>
          <w:p w14:paraId="304FD99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（1）新增排放污染物种类的（毒性、挥发性降低的除外）；</w:t>
            </w:r>
          </w:p>
          <w:p w14:paraId="14FC6E9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（2）位于环境质量不达标区的建设项目相应污染物排放量增加的；</w:t>
            </w:r>
          </w:p>
          <w:p w14:paraId="7A59726B">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(3)废水第一类污染物排放量增加的；</w:t>
            </w:r>
          </w:p>
          <w:p w14:paraId="14582F3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(4)其他污染物排放量增加10%及以上的。</w:t>
            </w:r>
          </w:p>
        </w:tc>
        <w:tc>
          <w:tcPr>
            <w:tcW w:w="2392" w:type="dxa"/>
            <w:noWrap w:val="0"/>
            <w:vAlign w:val="center"/>
          </w:tcPr>
          <w:p w14:paraId="34EFD419">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（1）新增了离心机；</w:t>
            </w:r>
          </w:p>
          <w:p w14:paraId="1F5B866F">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val="en-US" w:eastAsia="zh-CN"/>
              </w:rPr>
            </w:pPr>
            <w:r>
              <w:rPr>
                <w:rFonts w:hint="default" w:ascii="Times New Roman" w:hAnsi="Times New Roman" w:eastAsia="宋体" w:cs="Times New Roman"/>
                <w:kern w:val="0"/>
                <w:sz w:val="21"/>
                <w:szCs w:val="20"/>
                <w:lang w:val="en-US" w:eastAsia="zh-CN" w:bidi="ar-SA"/>
              </w:rPr>
              <w:t>（2）取消了DMC、30%氢氧化钠等原辅料</w:t>
            </w:r>
          </w:p>
        </w:tc>
        <w:tc>
          <w:tcPr>
            <w:tcW w:w="1845" w:type="dxa"/>
            <w:noWrap w:val="0"/>
            <w:vAlign w:val="center"/>
          </w:tcPr>
          <w:p w14:paraId="761D922B">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eastAsia="zh-CN"/>
              </w:rPr>
            </w:pPr>
            <w:r>
              <w:rPr>
                <w:rFonts w:hint="default" w:ascii="Times New Roman" w:hAnsi="Times New Roman" w:cs="Times New Roman"/>
                <w:szCs w:val="18"/>
                <w:lang w:eastAsia="zh-CN"/>
              </w:rPr>
              <w:t>（</w:t>
            </w:r>
            <w:r>
              <w:rPr>
                <w:rFonts w:hint="default" w:ascii="Times New Roman" w:hAnsi="Times New Roman" w:cs="Times New Roman"/>
                <w:szCs w:val="18"/>
                <w:lang w:val="en-US" w:eastAsia="zh-CN"/>
              </w:rPr>
              <w:t>1</w:t>
            </w:r>
            <w:r>
              <w:rPr>
                <w:rFonts w:hint="default" w:ascii="Times New Roman" w:hAnsi="Times New Roman" w:cs="Times New Roman"/>
                <w:szCs w:val="18"/>
                <w:lang w:eastAsia="zh-CN"/>
              </w:rPr>
              <w:t>）</w:t>
            </w:r>
            <w:r>
              <w:rPr>
                <w:rFonts w:hint="default" w:ascii="Times New Roman" w:hAnsi="Times New Roman" w:cs="Times New Roman"/>
                <w:szCs w:val="18"/>
                <w:lang w:val="en-US" w:eastAsia="zh-CN"/>
              </w:rPr>
              <w:t>离心机代替原过滤工序</w:t>
            </w:r>
            <w:r>
              <w:rPr>
                <w:rFonts w:hint="default" w:ascii="Times New Roman" w:hAnsi="Times New Roman" w:cs="Times New Roman"/>
                <w:szCs w:val="18"/>
                <w:lang w:eastAsia="zh-CN"/>
              </w:rPr>
              <w:t>；</w:t>
            </w:r>
          </w:p>
          <w:p w14:paraId="35268734">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）因实际生产</w:t>
            </w:r>
            <w:r>
              <w:rPr>
                <w:rFonts w:hint="default" w:ascii="Times New Roman" w:hAnsi="Times New Roman" w:cs="Times New Roman"/>
                <w:lang w:val="en-US" w:eastAsia="zh-CN"/>
              </w:rPr>
              <w:t>工艺调整</w:t>
            </w:r>
            <w:r>
              <w:rPr>
                <w:rFonts w:hint="default" w:ascii="Times New Roman" w:hAnsi="Times New Roman" w:cs="Times New Roman"/>
                <w:lang w:eastAsia="zh-CN"/>
              </w:rPr>
              <w:t>，</w:t>
            </w:r>
            <w:r>
              <w:rPr>
                <w:rFonts w:hint="default" w:ascii="Times New Roman" w:hAnsi="Times New Roman" w:cs="Times New Roman"/>
                <w:lang w:val="en-US" w:eastAsia="zh-CN"/>
              </w:rPr>
              <w:t>取消</w:t>
            </w:r>
            <w:r>
              <w:rPr>
                <w:rFonts w:hint="default" w:ascii="Times New Roman" w:hAnsi="Times New Roman" w:cs="Times New Roman"/>
                <w:lang w:eastAsia="zh-CN"/>
              </w:rPr>
              <w:t>部分原辅料</w:t>
            </w:r>
          </w:p>
        </w:tc>
        <w:tc>
          <w:tcPr>
            <w:tcW w:w="1679" w:type="dxa"/>
            <w:noWrap w:val="0"/>
            <w:vAlign w:val="center"/>
          </w:tcPr>
          <w:p w14:paraId="70806FAA">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szCs w:val="18"/>
                <w:vertAlign w:val="baseline"/>
                <w:lang w:eastAsia="zh-CN"/>
              </w:rPr>
            </w:pPr>
            <w:r>
              <w:rPr>
                <w:rFonts w:hint="default" w:ascii="Times New Roman" w:hAnsi="Times New Roman" w:cs="Times New Roman"/>
                <w:szCs w:val="18"/>
                <w:vertAlign w:val="baseline"/>
                <w:lang w:eastAsia="zh-CN"/>
              </w:rPr>
              <w:t>设备和原辅料的变化未新增排放污染物种类，未导致废水第一类污染物排放量增加，根据监测结果核算，污染物排放量未超过环评中核算总量，因此不属于重大变动</w:t>
            </w:r>
          </w:p>
        </w:tc>
      </w:tr>
      <w:tr w14:paraId="1BB6E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restart"/>
            <w:noWrap w:val="0"/>
            <w:vAlign w:val="center"/>
          </w:tcPr>
          <w:p w14:paraId="315D4AEF">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3</w:t>
            </w:r>
          </w:p>
        </w:tc>
        <w:tc>
          <w:tcPr>
            <w:tcW w:w="2258" w:type="dxa"/>
            <w:vMerge w:val="restart"/>
            <w:noWrap w:val="0"/>
            <w:vAlign w:val="top"/>
          </w:tcPr>
          <w:p w14:paraId="6DD84215">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废气、废水污染防治措施变化，导致第6条中所列情形之一（废气无组织排放改为有组织排放、污染防治措施强化或改进的除外）或大气污染物无组织排放量增加10%及以上的。</w:t>
            </w:r>
          </w:p>
          <w:p w14:paraId="4CDDC263">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固体废物利用处置方式由委托外单位利用处置改为自行利用处置的（自行利用处置设施单独开展环境影响评价的除外）；固体废物自行处置方式变化，导致不利环境影响加重的。</w:t>
            </w:r>
          </w:p>
        </w:tc>
        <w:tc>
          <w:tcPr>
            <w:tcW w:w="2392" w:type="dxa"/>
            <w:noWrap w:val="0"/>
            <w:vAlign w:val="center"/>
          </w:tcPr>
          <w:p w14:paraId="0984A42C">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含卤废气经“碱喷淋+深冷+超重力吸收+活性炭吸附组合处理工艺”处理后经25米高排气筒排放；普通废气经RTO燃烧装置处理后经25米高排气筒排放。罐区废气及危废库废气经过二级活性炭吸附+25m排气筒排放；污水处理站废气经过碱洗喷淋塔+生物滤池+25m排气筒排放。</w:t>
            </w:r>
          </w:p>
        </w:tc>
        <w:tc>
          <w:tcPr>
            <w:tcW w:w="1845" w:type="dxa"/>
            <w:noWrap w:val="0"/>
            <w:vAlign w:val="center"/>
          </w:tcPr>
          <w:p w14:paraId="4195C40D">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zh-CN" w:bidi="ar-SA"/>
              </w:rPr>
              <w:t>含卤废气经</w:t>
            </w:r>
            <w:r>
              <w:rPr>
                <w:rFonts w:hint="eastAsia" w:ascii="Times New Roman" w:hAnsi="Times New Roman" w:eastAsia="宋体" w:cs="Times New Roman"/>
                <w:spacing w:val="0"/>
                <w:kern w:val="0"/>
                <w:sz w:val="21"/>
                <w:szCs w:val="20"/>
                <w:lang w:val="en-US" w:eastAsia="zh-CN" w:bidi="ar-SA"/>
              </w:rPr>
              <w:t>深冷+碱喷淋+活性炭吸附</w:t>
            </w:r>
            <w:r>
              <w:rPr>
                <w:rFonts w:hint="default" w:ascii="Times New Roman" w:hAnsi="Times New Roman" w:eastAsia="宋体" w:cs="Times New Roman"/>
                <w:sz w:val="21"/>
                <w:szCs w:val="20"/>
                <w:lang w:val="en-US" w:eastAsia="zh-CN" w:bidi="ar-SA"/>
              </w:rPr>
              <w:t>处理后经25米高排气筒排放；</w:t>
            </w:r>
            <w:r>
              <w:rPr>
                <w:rFonts w:hint="eastAsia" w:ascii="Times New Roman" w:hAnsi="Times New Roman" w:eastAsia="宋体" w:cs="Times New Roman"/>
                <w:sz w:val="21"/>
                <w:szCs w:val="20"/>
                <w:lang w:val="en-US" w:eastAsia="zh-CN" w:bidi="ar-SA"/>
              </w:rPr>
              <w:t>无卤</w:t>
            </w:r>
            <w:r>
              <w:rPr>
                <w:rFonts w:hint="default" w:ascii="Times New Roman" w:hAnsi="Times New Roman" w:eastAsia="宋体" w:cs="Times New Roman"/>
                <w:sz w:val="21"/>
                <w:szCs w:val="20"/>
                <w:lang w:val="en-US" w:eastAsia="zh-CN" w:bidi="ar-SA"/>
              </w:rPr>
              <w:t>废气经RTO燃烧装置处理后经25米高排气筒排放。罐区废气及危废库废气经过二级活性炭吸附+25m排气筒排放；污水处理站废气经过碱洗喷淋塔+生物滤池+25m排气筒排放</w:t>
            </w:r>
            <w:r>
              <w:rPr>
                <w:rFonts w:hint="eastAsia" w:ascii="Times New Roman" w:hAnsi="Times New Roman" w:eastAsia="宋体" w:cs="Times New Roman"/>
                <w:sz w:val="21"/>
                <w:szCs w:val="20"/>
                <w:lang w:val="en-US" w:eastAsia="zh-CN" w:bidi="ar-SA"/>
              </w:rPr>
              <w:t>。</w:t>
            </w:r>
          </w:p>
        </w:tc>
        <w:tc>
          <w:tcPr>
            <w:tcW w:w="1679" w:type="dxa"/>
            <w:noWrap w:val="0"/>
            <w:vAlign w:val="center"/>
          </w:tcPr>
          <w:p w14:paraId="4FBBD810">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对比一般变动分析，</w:t>
            </w:r>
            <w:r>
              <w:rPr>
                <w:rFonts w:hint="default" w:ascii="Times New Roman" w:hAnsi="Times New Roman" w:eastAsia="宋体" w:cs="Times New Roman"/>
                <w:sz w:val="21"/>
                <w:szCs w:val="20"/>
                <w:lang w:val="en-US" w:eastAsia="zh-CN" w:bidi="ar-SA"/>
              </w:rPr>
              <w:t>废气污染防治措施未发生变化</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18"/>
                <w:vertAlign w:val="baseline"/>
                <w:lang w:val="en-US" w:eastAsia="zh-CN" w:bidi="ar-SA"/>
              </w:rPr>
              <w:t>因此不属于重大变动</w:t>
            </w:r>
            <w:r>
              <w:rPr>
                <w:rFonts w:hint="eastAsia" w:ascii="Times New Roman" w:hAnsi="Times New Roman" w:eastAsia="宋体" w:cs="Times New Roman"/>
                <w:sz w:val="21"/>
                <w:szCs w:val="18"/>
                <w:vertAlign w:val="baseline"/>
                <w:lang w:val="en-US" w:eastAsia="zh-CN" w:bidi="ar-SA"/>
              </w:rPr>
              <w:t>。</w:t>
            </w:r>
          </w:p>
        </w:tc>
      </w:tr>
      <w:tr w14:paraId="73CE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continue"/>
            <w:noWrap w:val="0"/>
            <w:vAlign w:val="center"/>
          </w:tcPr>
          <w:p w14:paraId="0BB83088">
            <w:pPr>
              <w:keepNext w:val="0"/>
              <w:keepLines w:val="0"/>
              <w:pageBreakBefore w:val="0"/>
              <w:widowControl/>
              <w:kinsoku/>
              <w:wordWrap/>
              <w:overflowPunct/>
              <w:topLinePunct w:val="0"/>
              <w:bidi w:val="0"/>
              <w:adjustRightInd w:val="0"/>
              <w:snapToGrid w:val="0"/>
              <w:spacing w:line="240" w:lineRule="auto"/>
              <w:ind w:firstLine="0" w:firstLineChars="0"/>
              <w:jc w:val="left"/>
              <w:rPr>
                <w:rFonts w:ascii="Times New Roman" w:hAnsi="Times New Roman" w:eastAsia="宋体" w:cs="Times New Roman"/>
                <w:sz w:val="21"/>
                <w:szCs w:val="20"/>
                <w:lang w:val="en-US" w:eastAsia="zh-CN" w:bidi="ar-SA"/>
              </w:rPr>
            </w:pPr>
          </w:p>
        </w:tc>
        <w:tc>
          <w:tcPr>
            <w:tcW w:w="2258" w:type="dxa"/>
            <w:vMerge w:val="continue"/>
            <w:noWrap w:val="0"/>
            <w:vAlign w:val="top"/>
          </w:tcPr>
          <w:p w14:paraId="70F87724">
            <w:pPr>
              <w:keepNext w:val="0"/>
              <w:keepLines w:val="0"/>
              <w:pageBreakBefore w:val="0"/>
              <w:widowControl/>
              <w:kinsoku/>
              <w:wordWrap/>
              <w:overflowPunct/>
              <w:topLinePunct w:val="0"/>
              <w:bidi w:val="0"/>
              <w:adjustRightInd w:val="0"/>
              <w:snapToGrid w:val="0"/>
              <w:spacing w:line="240" w:lineRule="auto"/>
              <w:ind w:firstLine="0" w:firstLineChars="0"/>
              <w:jc w:val="left"/>
              <w:rPr>
                <w:rFonts w:ascii="Times New Roman" w:hAnsi="Times New Roman" w:eastAsia="宋体" w:cs="Times New Roman"/>
                <w:sz w:val="21"/>
                <w:szCs w:val="20"/>
                <w:lang w:val="en-US" w:eastAsia="zh-CN" w:bidi="ar-SA"/>
              </w:rPr>
            </w:pPr>
          </w:p>
        </w:tc>
        <w:tc>
          <w:tcPr>
            <w:tcW w:w="2392" w:type="dxa"/>
            <w:noWrap w:val="0"/>
            <w:vAlign w:val="center"/>
          </w:tcPr>
          <w:p w14:paraId="2985E843">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厂区生活污水和生产废水进入厂区污水处理站处理；厂区污水处理站处理工艺：</w:t>
            </w:r>
          </w:p>
          <w:p w14:paraId="39D2B0F5">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高浓废水经过高浓废水处理装置（高浓度废水收集池+气浮池+过滤器+高级氧化装置）预处理；高盐废水经过高盐废水处理装置（高盐废水收集池+多效蒸发）预处理；与其它低浓废水一起进入综合调节池进行后续处置（初沉池+水解酸化池+配水池+IC厌氧池+二级A/O+二沉池），处理后达到安庆亚同城西污水处理厂接管标准通过厂区排口集中排入安庆亚同城西污水处理厂。</w:t>
            </w:r>
          </w:p>
          <w:p w14:paraId="310A4C67">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根据一般变动分析：</w:t>
            </w:r>
            <w:r>
              <w:rPr>
                <w:rFonts w:hint="eastAsia" w:ascii="Times New Roman" w:hAnsi="Times New Roman" w:eastAsia="宋体" w:cs="Times New Roman"/>
                <w:spacing w:val="0"/>
                <w:kern w:val="0"/>
                <w:sz w:val="21"/>
                <w:szCs w:val="20"/>
                <w:lang w:val="en-US" w:eastAsia="zh-CN" w:bidi="ar-SA"/>
              </w:rPr>
              <w:t>含卤废气的废气处理措施由“碱喷淋+深冷+超重力吸收+活性炭吸附组合处理工艺”处理后经103车间排气筒（DA002）排放变动为经“深冷+碱喷淋+活性炭吸附”（风量10000m</w:t>
            </w:r>
            <w:r>
              <w:rPr>
                <w:rFonts w:hint="eastAsia" w:ascii="Times New Roman" w:hAnsi="Times New Roman" w:eastAsia="宋体" w:cs="Times New Roman"/>
                <w:spacing w:val="0"/>
                <w:kern w:val="0"/>
                <w:sz w:val="21"/>
                <w:szCs w:val="20"/>
                <w:vertAlign w:val="superscript"/>
                <w:lang w:val="en-US" w:eastAsia="zh-CN" w:bidi="ar-SA"/>
              </w:rPr>
              <w:t>3</w:t>
            </w:r>
            <w:r>
              <w:rPr>
                <w:rFonts w:hint="eastAsia" w:ascii="Times New Roman" w:hAnsi="Times New Roman" w:eastAsia="宋体" w:cs="Times New Roman"/>
                <w:spacing w:val="0"/>
                <w:kern w:val="0"/>
                <w:sz w:val="21"/>
                <w:szCs w:val="20"/>
                <w:lang w:val="en-US" w:eastAsia="zh-CN" w:bidi="ar-SA"/>
              </w:rPr>
              <w:t>/h）处理后经104车间排气筒（原103车间DA002排气筒）排放。</w:t>
            </w:r>
          </w:p>
        </w:tc>
        <w:tc>
          <w:tcPr>
            <w:tcW w:w="1845" w:type="dxa"/>
            <w:noWrap w:val="0"/>
            <w:vAlign w:val="center"/>
          </w:tcPr>
          <w:p w14:paraId="2DB25E60">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无生产废水，生活污水</w:t>
            </w:r>
            <w:r>
              <w:rPr>
                <w:rFonts w:hint="default" w:ascii="Times New Roman" w:hAnsi="Times New Roman" w:eastAsia="宋体" w:cs="Times New Roman"/>
                <w:sz w:val="21"/>
                <w:szCs w:val="20"/>
                <w:lang w:val="en-US" w:eastAsia="zh-CN" w:bidi="ar-SA"/>
              </w:rPr>
              <w:t>进入厂区污水处理站处理</w:t>
            </w:r>
            <w:r>
              <w:rPr>
                <w:rFonts w:hint="eastAsia" w:ascii="Times New Roman" w:hAnsi="Times New Roman" w:eastAsia="宋体" w:cs="Times New Roman"/>
                <w:sz w:val="21"/>
                <w:szCs w:val="20"/>
                <w:lang w:val="en-US" w:eastAsia="zh-CN" w:bidi="ar-SA"/>
              </w:rPr>
              <w:t>排入亚同城西污水处理厂。</w:t>
            </w:r>
          </w:p>
        </w:tc>
        <w:tc>
          <w:tcPr>
            <w:tcW w:w="1679" w:type="dxa"/>
            <w:noWrap w:val="0"/>
            <w:vAlign w:val="center"/>
          </w:tcPr>
          <w:p w14:paraId="0C8D601C">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无生产废水，其余无</w:t>
            </w:r>
            <w:r>
              <w:rPr>
                <w:rFonts w:hint="default" w:ascii="Times New Roman" w:hAnsi="Times New Roman" w:eastAsia="宋体" w:cs="Times New Roman"/>
                <w:sz w:val="21"/>
                <w:szCs w:val="20"/>
                <w:lang w:val="en-US" w:eastAsia="zh-CN" w:bidi="ar-SA"/>
              </w:rPr>
              <w:t>变化</w:t>
            </w:r>
            <w:r>
              <w:rPr>
                <w:rFonts w:hint="eastAsia" w:ascii="Times New Roman" w:hAnsi="Times New Roman" w:eastAsia="宋体" w:cs="Times New Roman"/>
                <w:sz w:val="21"/>
                <w:szCs w:val="20"/>
                <w:lang w:val="en-US" w:eastAsia="zh-CN" w:bidi="ar-SA"/>
              </w:rPr>
              <w:t>，</w:t>
            </w:r>
            <w:r>
              <w:rPr>
                <w:rFonts w:hint="default" w:ascii="Times New Roman" w:hAnsi="Times New Roman" w:eastAsia="宋体" w:cs="Times New Roman"/>
                <w:sz w:val="21"/>
                <w:szCs w:val="18"/>
                <w:vertAlign w:val="baseline"/>
                <w:lang w:val="en-US" w:eastAsia="zh-CN" w:bidi="ar-SA"/>
              </w:rPr>
              <w:t>因此不属于重大变动</w:t>
            </w:r>
            <w:r>
              <w:rPr>
                <w:rFonts w:hint="eastAsia" w:ascii="Times New Roman" w:hAnsi="Times New Roman" w:eastAsia="宋体" w:cs="Times New Roman"/>
                <w:sz w:val="21"/>
                <w:szCs w:val="18"/>
                <w:vertAlign w:val="baseline"/>
                <w:lang w:val="en-US" w:eastAsia="zh-CN" w:bidi="ar-SA"/>
              </w:rPr>
              <w:t>。</w:t>
            </w:r>
          </w:p>
        </w:tc>
      </w:tr>
      <w:tr w14:paraId="4E370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48" w:type="dxa"/>
            <w:vMerge w:val="continue"/>
            <w:noWrap w:val="0"/>
            <w:vAlign w:val="center"/>
          </w:tcPr>
          <w:p w14:paraId="73AE4A7C">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p>
        </w:tc>
        <w:tc>
          <w:tcPr>
            <w:tcW w:w="2258" w:type="dxa"/>
            <w:vMerge w:val="continue"/>
            <w:noWrap w:val="0"/>
            <w:vAlign w:val="top"/>
          </w:tcPr>
          <w:p w14:paraId="27416FAB">
            <w:pPr>
              <w:keepNext w:val="0"/>
              <w:keepLines w:val="0"/>
              <w:pageBreakBefore w:val="0"/>
              <w:widowControl/>
              <w:kinsoku/>
              <w:wordWrap/>
              <w:overflowPunct/>
              <w:topLinePunct w:val="0"/>
              <w:bidi w:val="0"/>
              <w:adjustRightInd w:val="0"/>
              <w:snapToGrid w:val="0"/>
              <w:spacing w:line="240" w:lineRule="auto"/>
              <w:ind w:firstLine="0" w:firstLineChars="0"/>
              <w:jc w:val="left"/>
              <w:rPr>
                <w:rFonts w:hint="eastAsia" w:ascii="Times New Roman" w:hAnsi="Times New Roman" w:eastAsia="宋体" w:cs="Times New Roman"/>
                <w:sz w:val="21"/>
                <w:szCs w:val="20"/>
                <w:lang w:val="en-US" w:eastAsia="zh-CN" w:bidi="ar-SA"/>
              </w:rPr>
            </w:pPr>
          </w:p>
        </w:tc>
        <w:tc>
          <w:tcPr>
            <w:tcW w:w="2392" w:type="dxa"/>
            <w:noWrap w:val="0"/>
            <w:vAlign w:val="center"/>
          </w:tcPr>
          <w:p w14:paraId="0BBE30B4">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三乙胺回收装置可对反应副产三乙胺盐酸盐进行中和裂解，回收三乙胺循环使用，仅盐分进入废水处理系统</w:t>
            </w:r>
          </w:p>
        </w:tc>
        <w:tc>
          <w:tcPr>
            <w:tcW w:w="1845" w:type="dxa"/>
            <w:noWrap w:val="0"/>
            <w:vAlign w:val="center"/>
          </w:tcPr>
          <w:p w14:paraId="723F164B">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本项目取消三乙胺回收工序后，反应生成的三乙胺盐酸盐无法裂解回收，全部留存于精馏残液及釜渣中，新增三乙胺盐酸盐</w:t>
            </w:r>
            <w:r>
              <w:rPr>
                <w:rFonts w:hint="eastAsia" w:ascii="Times New Roman" w:hAnsi="Times New Roman" w:eastAsia="宋体" w:cs="Times New Roman"/>
                <w:kern w:val="0"/>
                <w:sz w:val="21"/>
                <w:szCs w:val="20"/>
                <w:lang w:val="en-US" w:eastAsia="zh-CN" w:bidi="ar-SA"/>
              </w:rPr>
              <w:t>作为副产品。本项目产生的三乙胺盐酸盐通过检测，符合山东化学化工学会中的副产三乙胺盐酸盐的团体标准。能够找到正规采购商，符合固废鉴定通则2026 副产要求。</w:t>
            </w:r>
          </w:p>
        </w:tc>
        <w:tc>
          <w:tcPr>
            <w:tcW w:w="1679" w:type="dxa"/>
            <w:noWrap w:val="0"/>
            <w:vAlign w:val="center"/>
          </w:tcPr>
          <w:p w14:paraId="207DBD91">
            <w:pPr>
              <w:keepNext w:val="0"/>
              <w:keepLines w:val="0"/>
              <w:pageBreakBefore w:val="0"/>
              <w:widowControl/>
              <w:kinsoku/>
              <w:wordWrap/>
              <w:overflowPunct/>
              <w:topLinePunct w:val="0"/>
              <w:bidi w:val="0"/>
              <w:adjustRightInd w:val="0"/>
              <w:snapToGrid w:val="0"/>
              <w:spacing w:line="240" w:lineRule="auto"/>
              <w:ind w:firstLine="0" w:firstLineChars="0"/>
              <w:jc w:val="left"/>
              <w:rPr>
                <w:rFonts w:hint="default" w:ascii="Times New Roman" w:hAnsi="Times New Roman" w:eastAsia="宋体" w:cs="Times New Roman"/>
                <w:sz w:val="21"/>
                <w:szCs w:val="20"/>
                <w:lang w:val="en-US" w:eastAsia="zh-CN" w:bidi="ar-SA"/>
              </w:rPr>
            </w:pPr>
            <w:r>
              <w:rPr>
                <w:rFonts w:hint="eastAsia" w:ascii="Times New Roman" w:hAnsi="Times New Roman" w:eastAsia="宋体" w:cs="Times New Roman"/>
                <w:sz w:val="21"/>
                <w:szCs w:val="20"/>
                <w:lang w:val="en-US" w:eastAsia="zh-CN" w:bidi="ar-SA"/>
              </w:rPr>
              <w:t>本项目产生的三乙胺盐酸盐已经通过监测，作为副产满足团体标准《山东化学化工学会团体标准副产三乙胺盐酸盐》，产生途径为生产碳酸亚乙烯酯过程中产生的三乙胺盐酸盐，使用用途为化工原料。本公司生产的中间产物三乙胺盐酸盐符合团标要求。故本项目的三乙胺盐酸盐外售给宁夏誉诚科技有限公司，能够对三乙胺盐酸盐进行高效、环保的加工利用。故不属于重大变动。</w:t>
            </w:r>
          </w:p>
        </w:tc>
      </w:tr>
      <w:tr w14:paraId="3885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348" w:type="dxa"/>
            <w:noWrap w:val="0"/>
            <w:vAlign w:val="center"/>
          </w:tcPr>
          <w:p w14:paraId="46FE2C92">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val="en-US" w:eastAsia="zh-CN"/>
              </w:rPr>
            </w:pPr>
            <w:r>
              <w:rPr>
                <w:rFonts w:hint="eastAsia" w:cs="Times New Roman"/>
                <w:lang w:val="en-US" w:eastAsia="zh-CN"/>
              </w:rPr>
              <w:t>4</w:t>
            </w:r>
          </w:p>
        </w:tc>
        <w:tc>
          <w:tcPr>
            <w:tcW w:w="2258" w:type="dxa"/>
            <w:noWrap w:val="0"/>
            <w:vAlign w:val="center"/>
          </w:tcPr>
          <w:p w14:paraId="4091C77E">
            <w:pPr>
              <w:pStyle w:val="33"/>
              <w:keepNext w:val="0"/>
              <w:keepLines w:val="0"/>
              <w:pageBreakBefore w:val="0"/>
              <w:widowControl/>
              <w:kinsoku/>
              <w:wordWrap/>
              <w:overflowPunct/>
              <w:topLinePunct w:val="0"/>
              <w:bidi w:val="0"/>
              <w:adjustRightInd w:val="0"/>
              <w:snapToGrid w:val="0"/>
              <w:spacing w:after="0"/>
              <w:ind w:firstLine="0" w:firstLineChars="0"/>
              <w:jc w:val="left"/>
              <w:rPr>
                <w:rFonts w:hint="default" w:ascii="Times New Roman" w:hAnsi="Times New Roman" w:cs="Times New Roman"/>
                <w:color w:val="000000"/>
                <w:szCs w:val="18"/>
              </w:rPr>
            </w:pPr>
            <w:r>
              <w:rPr>
                <w:rFonts w:hint="default" w:ascii="Times New Roman" w:hAnsi="Times New Roman" w:cs="Times New Roman"/>
                <w:color w:val="000000"/>
                <w:szCs w:val="18"/>
              </w:rPr>
              <w:t>事故废水暂存能力或拦截设施变化，导致环境风险防范能力弱化或降低的。</w:t>
            </w:r>
          </w:p>
        </w:tc>
        <w:tc>
          <w:tcPr>
            <w:tcW w:w="2392" w:type="dxa"/>
            <w:noWrap w:val="0"/>
            <w:vAlign w:val="center"/>
          </w:tcPr>
          <w:p w14:paraId="2E9E0330">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cs="Times New Roman"/>
                <w:lang w:val="en-US" w:eastAsia="zh-CN"/>
              </w:rPr>
            </w:pPr>
            <w:r>
              <w:rPr>
                <w:rFonts w:hint="default" w:ascii="Times New Roman" w:hAnsi="Times New Roman" w:cs="Times New Roman"/>
                <w:color w:val="000000"/>
                <w:szCs w:val="18"/>
              </w:rPr>
              <w:t>厂区建设1座</w:t>
            </w:r>
            <w:r>
              <w:rPr>
                <w:rFonts w:hint="default" w:ascii="Times New Roman" w:hAnsi="Times New Roman" w:cs="Times New Roman"/>
                <w:sz w:val="21"/>
                <w:szCs w:val="21"/>
              </w:rPr>
              <w:t>事故池有效容积为1800m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w:t>
            </w:r>
          </w:p>
        </w:tc>
        <w:tc>
          <w:tcPr>
            <w:tcW w:w="1845" w:type="dxa"/>
            <w:noWrap w:val="0"/>
            <w:vAlign w:val="center"/>
          </w:tcPr>
          <w:p w14:paraId="7F99ECF8">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lang w:eastAsia="zh-CN"/>
              </w:rPr>
            </w:pPr>
            <w:r>
              <w:rPr>
                <w:rFonts w:hint="default" w:ascii="Times New Roman" w:hAnsi="Times New Roman" w:cs="Times New Roman"/>
                <w:color w:val="000000"/>
                <w:szCs w:val="18"/>
              </w:rPr>
              <w:t>厂区建设1座</w:t>
            </w:r>
            <w:r>
              <w:rPr>
                <w:rFonts w:hint="default" w:ascii="Times New Roman" w:hAnsi="Times New Roman" w:cs="Times New Roman"/>
                <w:sz w:val="21"/>
                <w:szCs w:val="21"/>
              </w:rPr>
              <w:t>事故池有效容积为1800m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w:t>
            </w:r>
          </w:p>
        </w:tc>
        <w:tc>
          <w:tcPr>
            <w:tcW w:w="1679" w:type="dxa"/>
            <w:noWrap w:val="0"/>
            <w:vAlign w:val="center"/>
          </w:tcPr>
          <w:p w14:paraId="40E1F685">
            <w:pPr>
              <w:pStyle w:val="33"/>
              <w:keepNext w:val="0"/>
              <w:keepLines w:val="0"/>
              <w:pageBreakBefore w:val="0"/>
              <w:widowControl/>
              <w:kinsoku/>
              <w:wordWrap/>
              <w:overflowPunct/>
              <w:topLinePunct w:val="0"/>
              <w:bidi w:val="0"/>
              <w:adjustRightInd w:val="0"/>
              <w:snapToGrid w:val="0"/>
              <w:spacing w:after="0"/>
              <w:ind w:firstLine="0" w:firstLineChars="0"/>
              <w:rPr>
                <w:rFonts w:hint="default" w:ascii="Times New Roman" w:hAnsi="Times New Roman" w:eastAsia="宋体" w:cs="Times New Roman"/>
                <w:color w:val="000000"/>
                <w:szCs w:val="18"/>
                <w:lang w:val="en-US" w:eastAsia="zh-CN"/>
              </w:rPr>
            </w:pPr>
            <w:r>
              <w:rPr>
                <w:rFonts w:hint="default" w:ascii="Times New Roman" w:hAnsi="Times New Roman" w:cs="Times New Roman"/>
                <w:szCs w:val="18"/>
                <w:vertAlign w:val="baseline"/>
                <w:lang w:eastAsia="zh-CN"/>
              </w:rPr>
              <w:t>不属于重大变动</w:t>
            </w:r>
          </w:p>
        </w:tc>
      </w:tr>
    </w:tbl>
    <w:p w14:paraId="477FA511">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三、环境保护设施建设情况</w:t>
      </w:r>
    </w:p>
    <w:p w14:paraId="401D5BCE">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（一）废水</w:t>
      </w:r>
    </w:p>
    <w:p w14:paraId="19230F40">
      <w:pPr>
        <w:pStyle w:val="7"/>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生活污水与生产污水</w:t>
      </w:r>
      <w:r>
        <w:rPr>
          <w:rFonts w:hint="eastAsia" w:ascii="Times New Roman" w:hAnsi="Times New Roman" w:eastAsia="宋体" w:cs="Times New Roman"/>
          <w:sz w:val="24"/>
          <w:szCs w:val="24"/>
          <w:highlight w:val="none"/>
          <w:lang w:val="en-US" w:eastAsia="zh-CN"/>
        </w:rPr>
        <w:t>一同进入低浓度废水收集池</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经过现有厂区污水处理站处理后，</w:t>
      </w:r>
      <w:r>
        <w:rPr>
          <w:rFonts w:hint="eastAsia" w:ascii="Times New Roman" w:hAnsi="Times New Roman" w:eastAsia="宋体" w:cs="Times New Roman"/>
          <w:sz w:val="24"/>
          <w:szCs w:val="24"/>
          <w:highlight w:val="none"/>
          <w:lang w:eastAsia="zh-CN"/>
        </w:rPr>
        <w:t>排入市政污水管网，经</w:t>
      </w:r>
      <w:r>
        <w:rPr>
          <w:rFonts w:hint="eastAsia" w:ascii="Times New Roman" w:hAnsi="Times New Roman" w:eastAsia="宋体" w:cs="Times New Roman"/>
          <w:sz w:val="24"/>
          <w:szCs w:val="24"/>
          <w:highlight w:val="none"/>
          <w:lang w:val="en-US" w:eastAsia="zh-CN"/>
        </w:rPr>
        <w:t>安庆亚同</w:t>
      </w:r>
      <w:r>
        <w:rPr>
          <w:rFonts w:hint="eastAsia" w:ascii="Times New Roman" w:hAnsi="Times New Roman" w:eastAsia="宋体" w:cs="Times New Roman"/>
          <w:sz w:val="24"/>
          <w:szCs w:val="24"/>
          <w:highlight w:val="none"/>
          <w:lang w:eastAsia="zh-CN"/>
        </w:rPr>
        <w:t>城西污水处理厂集中处理</w:t>
      </w:r>
      <w:r>
        <w:rPr>
          <w:rFonts w:hint="eastAsia" w:ascii="Times New Roman" w:hAnsi="Times New Roman" w:eastAsia="宋体" w:cs="Times New Roman"/>
          <w:sz w:val="24"/>
          <w:szCs w:val="24"/>
          <w:highlight w:val="none"/>
          <w:lang w:val="en-US" w:eastAsia="zh-CN"/>
        </w:rPr>
        <w:t>。现有厂区综合污水处理站处理能力为700m3/d，处理工艺如下：</w:t>
      </w:r>
    </w:p>
    <w:p w14:paraId="0CB37656">
      <w:pPr>
        <w:spacing w:line="360" w:lineRule="auto"/>
        <w:ind w:firstLine="480" w:firstLineChars="200"/>
        <w:rPr>
          <w:rFonts w:hint="eastAsia"/>
          <w:color w:val="auto"/>
          <w:sz w:val="24"/>
          <w:lang w:bidi="ar"/>
        </w:rPr>
      </w:pPr>
    </w:p>
    <w:p w14:paraId="3C8EC1D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color w:val="auto"/>
          <w:sz w:val="24"/>
          <w:lang w:bidi="ar"/>
        </w:rPr>
      </w:pPr>
      <w:r>
        <w:rPr>
          <w:rFonts w:hint="eastAsia" w:cs="Times New Roman"/>
          <w:color w:val="000000"/>
          <w:sz w:val="24"/>
          <w:szCs w:val="24"/>
          <w:lang w:val="en-US" w:eastAsia="zh-CN"/>
        </w:rPr>
        <w:object>
          <v:shape id="_x0000_i1025" o:spt="75" type="#_x0000_t75" style="height:455.85pt;width:430.5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r>
        <w:rPr>
          <w:rFonts w:hint="default" w:ascii="Times New Roman" w:hAnsi="Times New Roman" w:eastAsia="宋体" w:cs="Times New Roman"/>
          <w:b/>
          <w:kern w:val="2"/>
          <w:sz w:val="24"/>
          <w:szCs w:val="24"/>
          <w:u w:val="single" w:color="FFFFFF"/>
          <w:lang w:val="en-US" w:eastAsia="zh-CN" w:bidi="ar-SA"/>
        </w:rPr>
        <w:t>图</w:t>
      </w:r>
      <w:r>
        <w:rPr>
          <w:rFonts w:hint="eastAsia" w:ascii="Times New Roman" w:hAnsi="Times New Roman" w:eastAsia="宋体" w:cs="Times New Roman"/>
          <w:b/>
          <w:kern w:val="2"/>
          <w:sz w:val="24"/>
          <w:szCs w:val="24"/>
          <w:u w:val="single" w:color="FFFFFF"/>
          <w:lang w:val="en-US" w:eastAsia="zh-CN" w:bidi="ar-SA"/>
        </w:rPr>
        <w:t>3-2污水处理站</w:t>
      </w:r>
      <w:r>
        <w:rPr>
          <w:rFonts w:hint="default" w:ascii="Times New Roman" w:hAnsi="Times New Roman" w:eastAsia="宋体" w:cs="Times New Roman"/>
          <w:b/>
          <w:kern w:val="2"/>
          <w:sz w:val="24"/>
          <w:szCs w:val="24"/>
          <w:u w:val="single" w:color="FFFFFF"/>
          <w:lang w:val="en-US" w:eastAsia="zh-CN" w:bidi="ar-SA"/>
        </w:rPr>
        <w:t>废水</w:t>
      </w:r>
      <w:bookmarkStart w:id="1" w:name="_GoBack"/>
      <w:bookmarkEnd w:id="1"/>
      <w:r>
        <w:rPr>
          <w:rFonts w:hint="default" w:ascii="Times New Roman" w:hAnsi="Times New Roman" w:eastAsia="宋体" w:cs="Times New Roman"/>
          <w:b/>
          <w:kern w:val="2"/>
          <w:sz w:val="24"/>
          <w:szCs w:val="24"/>
          <w:u w:val="single" w:color="FFFFFF"/>
          <w:lang w:val="en-US" w:eastAsia="zh-CN" w:bidi="ar-SA"/>
        </w:rPr>
        <w:t>处理工艺流程图</w:t>
      </w:r>
    </w:p>
    <w:p w14:paraId="751840CA">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（二）废气</w:t>
      </w:r>
    </w:p>
    <w:p w14:paraId="50D7F1A4">
      <w:pPr>
        <w:pStyle w:val="7"/>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废气处理设施详见下表。</w:t>
      </w:r>
    </w:p>
    <w:p w14:paraId="116320B1">
      <w:pPr>
        <w:pStyle w:val="27"/>
        <w:spacing w:line="360" w:lineRule="auto"/>
        <w:ind w:firstLine="482" w:firstLineChars="200"/>
        <w:jc w:val="center"/>
        <w:rPr>
          <w:rFonts w:hint="default" w:ascii="Times New Roman" w:hAnsi="Times New Roman" w:eastAsia="宋体" w:cs="Times New Roman"/>
          <w:b/>
          <w:color w:val="auto"/>
          <w:kern w:val="2"/>
          <w:sz w:val="24"/>
          <w:szCs w:val="24"/>
          <w:u w:val="single" w:color="FFFFFF"/>
          <w:lang w:val="en-US" w:eastAsia="zh-CN" w:bidi="ar-SA"/>
        </w:rPr>
      </w:pPr>
      <w:r>
        <w:rPr>
          <w:rFonts w:hint="eastAsia" w:ascii="Times New Roman" w:hAnsi="Times New Roman" w:eastAsia="宋体" w:cs="Times New Roman"/>
          <w:b/>
          <w:color w:val="auto"/>
          <w:kern w:val="2"/>
          <w:sz w:val="24"/>
          <w:szCs w:val="24"/>
          <w:u w:val="single" w:color="FFFFFF"/>
          <w:lang w:val="en-US" w:eastAsia="zh-CN" w:bidi="ar-SA"/>
        </w:rPr>
        <w:t>表</w:t>
      </w:r>
      <w:r>
        <w:rPr>
          <w:rFonts w:hint="eastAsia" w:ascii="Times New Roman" w:eastAsia="宋体" w:cs="Times New Roman"/>
          <w:b/>
          <w:color w:val="auto"/>
          <w:kern w:val="2"/>
          <w:sz w:val="24"/>
          <w:szCs w:val="24"/>
          <w:u w:val="single" w:color="FFFFFF"/>
          <w:lang w:val="en-US" w:eastAsia="zh-CN" w:bidi="ar-SA"/>
        </w:rPr>
        <w:t>2</w:t>
      </w:r>
      <w:r>
        <w:rPr>
          <w:rFonts w:hint="eastAsia" w:ascii="Times New Roman" w:hAnsi="Times New Roman" w:eastAsia="宋体" w:cs="Times New Roman"/>
          <w:b/>
          <w:color w:val="auto"/>
          <w:kern w:val="2"/>
          <w:sz w:val="24"/>
          <w:szCs w:val="24"/>
          <w:u w:val="single" w:color="FFFFFF"/>
          <w:lang w:val="en-US" w:eastAsia="zh-CN" w:bidi="ar-SA"/>
        </w:rPr>
        <w:t xml:space="preserve"> 废气处理措施一览表</w:t>
      </w:r>
    </w:p>
    <w:tbl>
      <w:tblPr>
        <w:tblStyle w:val="14"/>
        <w:tblW w:w="9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621"/>
        <w:gridCol w:w="1969"/>
        <w:gridCol w:w="1500"/>
        <w:gridCol w:w="1408"/>
        <w:gridCol w:w="1238"/>
      </w:tblGrid>
      <w:tr w14:paraId="6E726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vMerge w:val="restart"/>
            <w:noWrap w:val="0"/>
            <w:vAlign w:val="center"/>
          </w:tcPr>
          <w:p w14:paraId="35EAC4A2">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项目</w:t>
            </w:r>
          </w:p>
        </w:tc>
        <w:tc>
          <w:tcPr>
            <w:tcW w:w="7736" w:type="dxa"/>
            <w:gridSpan w:val="5"/>
            <w:noWrap w:val="0"/>
            <w:vAlign w:val="center"/>
          </w:tcPr>
          <w:p w14:paraId="6B988051">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废气种类</w:t>
            </w:r>
          </w:p>
        </w:tc>
      </w:tr>
      <w:tr w14:paraId="0B44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vMerge w:val="continue"/>
            <w:noWrap w:val="0"/>
            <w:vAlign w:val="center"/>
          </w:tcPr>
          <w:p w14:paraId="44B8DC88">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p>
        </w:tc>
        <w:tc>
          <w:tcPr>
            <w:tcW w:w="0" w:type="auto"/>
            <w:noWrap w:val="0"/>
            <w:vAlign w:val="center"/>
          </w:tcPr>
          <w:p w14:paraId="4A351AAE">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eastAsia="zh-CN"/>
              </w:rPr>
            </w:pPr>
            <w:r>
              <w:rPr>
                <w:rFonts w:hint="default" w:ascii="Times New Roman" w:hAnsi="Times New Roman" w:eastAsia="宋体" w:cs="Times New Roman"/>
                <w:kern w:val="2"/>
                <w:sz w:val="21"/>
                <w:szCs w:val="21"/>
                <w:lang w:val="en-US" w:eastAsia="zh-CN"/>
              </w:rPr>
              <w:t>含卤废气</w:t>
            </w:r>
          </w:p>
        </w:tc>
        <w:tc>
          <w:tcPr>
            <w:tcW w:w="1969" w:type="dxa"/>
            <w:noWrap w:val="0"/>
            <w:vAlign w:val="center"/>
          </w:tcPr>
          <w:p w14:paraId="1378135B">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eastAsia" w:ascii="Times New Roman" w:hAnsi="Times New Roman" w:eastAsia="宋体" w:cs="Times New Roman"/>
                <w:b w:val="0"/>
                <w:bCs/>
                <w:kern w:val="0"/>
                <w:sz w:val="21"/>
                <w:szCs w:val="21"/>
                <w:lang w:val="en-US" w:eastAsia="zh-CN" w:bidi="ar-SA"/>
              </w:rPr>
              <w:t>无卤工艺（RTO燃烧废气）废气</w:t>
            </w:r>
          </w:p>
        </w:tc>
        <w:tc>
          <w:tcPr>
            <w:tcW w:w="0" w:type="auto"/>
            <w:noWrap w:val="0"/>
            <w:vAlign w:val="center"/>
          </w:tcPr>
          <w:p w14:paraId="59F0AE0D">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罐区废气、危废库废气</w:t>
            </w:r>
          </w:p>
        </w:tc>
        <w:tc>
          <w:tcPr>
            <w:tcW w:w="1408" w:type="dxa"/>
            <w:noWrap w:val="0"/>
            <w:vAlign w:val="center"/>
          </w:tcPr>
          <w:p w14:paraId="45DA4E40">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rPr>
              <w:t>污水处理站废气</w:t>
            </w:r>
          </w:p>
        </w:tc>
        <w:tc>
          <w:tcPr>
            <w:tcW w:w="1238" w:type="dxa"/>
            <w:noWrap w:val="0"/>
            <w:vAlign w:val="center"/>
          </w:tcPr>
          <w:p w14:paraId="4D0AE35F">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化验室有机废气</w:t>
            </w:r>
          </w:p>
        </w:tc>
      </w:tr>
      <w:tr w14:paraId="23A2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5AB5B959">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来源</w:t>
            </w:r>
          </w:p>
        </w:tc>
        <w:tc>
          <w:tcPr>
            <w:tcW w:w="0" w:type="auto"/>
            <w:noWrap w:val="0"/>
            <w:vAlign w:val="center"/>
          </w:tcPr>
          <w:p w14:paraId="782084D2">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精馏、脱卤</w:t>
            </w:r>
          </w:p>
        </w:tc>
        <w:tc>
          <w:tcPr>
            <w:tcW w:w="1969" w:type="dxa"/>
            <w:noWrap w:val="0"/>
            <w:vAlign w:val="center"/>
          </w:tcPr>
          <w:p w14:paraId="79A60B0A">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精馏、结晶等</w:t>
            </w:r>
          </w:p>
        </w:tc>
        <w:tc>
          <w:tcPr>
            <w:tcW w:w="0" w:type="auto"/>
            <w:noWrap w:val="0"/>
            <w:vAlign w:val="center"/>
          </w:tcPr>
          <w:p w14:paraId="05C13634">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罐区、危废库</w:t>
            </w:r>
          </w:p>
        </w:tc>
        <w:tc>
          <w:tcPr>
            <w:tcW w:w="1408" w:type="dxa"/>
            <w:noWrap w:val="0"/>
            <w:vAlign w:val="center"/>
          </w:tcPr>
          <w:p w14:paraId="557C67E6">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污水处理站</w:t>
            </w:r>
          </w:p>
        </w:tc>
        <w:tc>
          <w:tcPr>
            <w:tcW w:w="1238" w:type="dxa"/>
            <w:noWrap w:val="0"/>
            <w:vAlign w:val="center"/>
          </w:tcPr>
          <w:p w14:paraId="570838E5">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化验室</w:t>
            </w:r>
          </w:p>
        </w:tc>
      </w:tr>
      <w:tr w14:paraId="2C19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86" w:type="dxa"/>
            <w:noWrap w:val="0"/>
            <w:vAlign w:val="center"/>
          </w:tcPr>
          <w:p w14:paraId="76627774">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污染物种类</w:t>
            </w:r>
          </w:p>
        </w:tc>
        <w:tc>
          <w:tcPr>
            <w:tcW w:w="0" w:type="auto"/>
            <w:noWrap w:val="0"/>
            <w:vAlign w:val="center"/>
          </w:tcPr>
          <w:p w14:paraId="1EB9FACD">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非甲烷总烃</w:t>
            </w:r>
          </w:p>
        </w:tc>
        <w:tc>
          <w:tcPr>
            <w:tcW w:w="1969" w:type="dxa"/>
            <w:noWrap w:val="0"/>
            <w:vAlign w:val="center"/>
          </w:tcPr>
          <w:p w14:paraId="5244A58A">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颗粒物、SO</w:t>
            </w:r>
            <w:r>
              <w:rPr>
                <w:rFonts w:hint="default" w:ascii="Times New Roman" w:hAnsi="Times New Roman" w:eastAsia="宋体" w:cs="Times New Roman"/>
                <w:kern w:val="2"/>
                <w:sz w:val="21"/>
                <w:szCs w:val="21"/>
                <w:vertAlign w:val="subscript"/>
                <w:lang w:val="en-US" w:eastAsia="zh-CN"/>
              </w:rPr>
              <w:t>2</w:t>
            </w:r>
            <w:r>
              <w:rPr>
                <w:rFonts w:hint="default" w:ascii="Times New Roman" w:hAnsi="Times New Roman" w:eastAsia="宋体" w:cs="Times New Roman"/>
                <w:kern w:val="2"/>
                <w:sz w:val="21"/>
                <w:szCs w:val="21"/>
                <w:lang w:val="en-US" w:eastAsia="zh-CN"/>
              </w:rPr>
              <w:t>、NOx、非甲烷总烃</w:t>
            </w:r>
          </w:p>
        </w:tc>
        <w:tc>
          <w:tcPr>
            <w:tcW w:w="0" w:type="auto"/>
            <w:noWrap w:val="0"/>
            <w:vAlign w:val="center"/>
          </w:tcPr>
          <w:p w14:paraId="44A50769">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非甲烷总烃</w:t>
            </w:r>
          </w:p>
        </w:tc>
        <w:tc>
          <w:tcPr>
            <w:tcW w:w="1408" w:type="dxa"/>
            <w:noWrap w:val="0"/>
            <w:vAlign w:val="center"/>
          </w:tcPr>
          <w:p w14:paraId="34C95B68">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rPr>
              <w:t>非甲烷总烃</w:t>
            </w:r>
          </w:p>
        </w:tc>
        <w:tc>
          <w:tcPr>
            <w:tcW w:w="1238" w:type="dxa"/>
            <w:noWrap w:val="0"/>
            <w:vAlign w:val="center"/>
          </w:tcPr>
          <w:p w14:paraId="33341197">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非甲烷总烃</w:t>
            </w:r>
          </w:p>
        </w:tc>
      </w:tr>
      <w:tr w14:paraId="6664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223ADCE0">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排放方式</w:t>
            </w:r>
          </w:p>
        </w:tc>
        <w:tc>
          <w:tcPr>
            <w:tcW w:w="0" w:type="auto"/>
            <w:noWrap w:val="0"/>
            <w:vAlign w:val="center"/>
          </w:tcPr>
          <w:p w14:paraId="2D909228">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连续排放</w:t>
            </w:r>
          </w:p>
        </w:tc>
        <w:tc>
          <w:tcPr>
            <w:tcW w:w="1969" w:type="dxa"/>
            <w:noWrap w:val="0"/>
            <w:vAlign w:val="center"/>
          </w:tcPr>
          <w:p w14:paraId="2720F868">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连续排放</w:t>
            </w:r>
          </w:p>
        </w:tc>
        <w:tc>
          <w:tcPr>
            <w:tcW w:w="0" w:type="auto"/>
            <w:noWrap w:val="0"/>
            <w:vAlign w:val="center"/>
          </w:tcPr>
          <w:p w14:paraId="599695B3">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连续排放</w:t>
            </w:r>
          </w:p>
        </w:tc>
        <w:tc>
          <w:tcPr>
            <w:tcW w:w="1408" w:type="dxa"/>
            <w:noWrap w:val="0"/>
            <w:vAlign w:val="center"/>
          </w:tcPr>
          <w:p w14:paraId="554A15DF">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连续排放</w:t>
            </w:r>
          </w:p>
        </w:tc>
        <w:tc>
          <w:tcPr>
            <w:tcW w:w="1238" w:type="dxa"/>
            <w:noWrap w:val="0"/>
            <w:vAlign w:val="center"/>
          </w:tcPr>
          <w:p w14:paraId="3BB0F4F2">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连续排放</w:t>
            </w:r>
          </w:p>
        </w:tc>
      </w:tr>
      <w:tr w14:paraId="3A60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6D250443">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治理设施</w:t>
            </w:r>
          </w:p>
        </w:tc>
        <w:tc>
          <w:tcPr>
            <w:tcW w:w="0" w:type="auto"/>
            <w:noWrap w:val="0"/>
            <w:vAlign w:val="center"/>
          </w:tcPr>
          <w:p w14:paraId="10E8156D">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rPr>
            </w:pPr>
            <w:r>
              <w:rPr>
                <w:rFonts w:hint="eastAsia" w:eastAsia="宋体"/>
                <w:spacing w:val="0"/>
                <w:kern w:val="0"/>
                <w:sz w:val="21"/>
              </w:rPr>
              <w:t>深冷+碱喷淋+活性炭吸附</w:t>
            </w:r>
          </w:p>
        </w:tc>
        <w:tc>
          <w:tcPr>
            <w:tcW w:w="1969" w:type="dxa"/>
            <w:noWrap w:val="0"/>
            <w:vAlign w:val="center"/>
          </w:tcPr>
          <w:p w14:paraId="7E2B4FA2">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eastAsia" w:eastAsia="宋体" w:cs="Times New Roman"/>
                <w:kern w:val="2"/>
                <w:sz w:val="21"/>
                <w:szCs w:val="21"/>
                <w:lang w:val="en-US" w:eastAsia="zh-CN"/>
              </w:rPr>
              <w:t>RTO</w:t>
            </w:r>
            <w:r>
              <w:rPr>
                <w:rFonts w:hint="default" w:ascii="Times New Roman" w:hAnsi="Times New Roman" w:eastAsia="宋体" w:cs="Times New Roman"/>
                <w:kern w:val="2"/>
                <w:sz w:val="21"/>
                <w:szCs w:val="21"/>
              </w:rPr>
              <w:t>燃烧器</w:t>
            </w:r>
          </w:p>
        </w:tc>
        <w:tc>
          <w:tcPr>
            <w:tcW w:w="0" w:type="auto"/>
            <w:noWrap w:val="0"/>
            <w:vAlign w:val="center"/>
          </w:tcPr>
          <w:p w14:paraId="39050C5D">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eastAsia="zh-CN"/>
              </w:rPr>
            </w:pPr>
            <w:r>
              <w:rPr>
                <w:rFonts w:hint="default" w:ascii="Times New Roman" w:hAnsi="Times New Roman" w:eastAsia="宋体" w:cs="Times New Roman"/>
                <w:kern w:val="2"/>
                <w:sz w:val="21"/>
                <w:szCs w:val="21"/>
                <w:lang w:val="en-US" w:eastAsia="zh-CN"/>
              </w:rPr>
              <w:t>二级活性炭</w:t>
            </w:r>
          </w:p>
        </w:tc>
        <w:tc>
          <w:tcPr>
            <w:tcW w:w="1408" w:type="dxa"/>
            <w:noWrap w:val="0"/>
            <w:vAlign w:val="center"/>
          </w:tcPr>
          <w:p w14:paraId="26B7097F">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rPr>
              <w:t>碱喷淋+生物滤池</w:t>
            </w:r>
          </w:p>
        </w:tc>
        <w:tc>
          <w:tcPr>
            <w:tcW w:w="1238" w:type="dxa"/>
            <w:noWrap w:val="0"/>
            <w:vAlign w:val="center"/>
          </w:tcPr>
          <w:p w14:paraId="7C4C933D">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二级活性炭</w:t>
            </w:r>
          </w:p>
        </w:tc>
      </w:tr>
      <w:tr w14:paraId="013D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5774CB11">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排气筒高度</w:t>
            </w:r>
          </w:p>
        </w:tc>
        <w:tc>
          <w:tcPr>
            <w:tcW w:w="0" w:type="auto"/>
            <w:noWrap w:val="0"/>
            <w:vAlign w:val="center"/>
          </w:tcPr>
          <w:p w14:paraId="5C260066">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排气筒高度：</w:t>
            </w:r>
            <w:r>
              <w:rPr>
                <w:rFonts w:hint="default" w:ascii="Times New Roman" w:hAnsi="Times New Roman" w:eastAsia="宋体" w:cs="Times New Roman"/>
                <w:kern w:val="2"/>
                <w:sz w:val="21"/>
                <w:szCs w:val="21"/>
                <w:lang w:val="en-US" w:eastAsia="zh-CN"/>
              </w:rPr>
              <w:t>2</w:t>
            </w:r>
            <w:r>
              <w:rPr>
                <w:rFonts w:hint="default" w:ascii="Times New Roman" w:hAnsi="Times New Roman" w:eastAsia="宋体" w:cs="Times New Roman"/>
                <w:kern w:val="2"/>
                <w:sz w:val="21"/>
                <w:szCs w:val="21"/>
              </w:rPr>
              <w:t>5m</w:t>
            </w:r>
          </w:p>
        </w:tc>
        <w:tc>
          <w:tcPr>
            <w:tcW w:w="1969" w:type="dxa"/>
            <w:noWrap w:val="0"/>
            <w:vAlign w:val="center"/>
          </w:tcPr>
          <w:p w14:paraId="711FDB92">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排气筒高度：</w:t>
            </w:r>
            <w:r>
              <w:rPr>
                <w:rFonts w:hint="default" w:ascii="Times New Roman" w:hAnsi="Times New Roman" w:eastAsia="宋体" w:cs="Times New Roman"/>
                <w:kern w:val="2"/>
                <w:sz w:val="21"/>
                <w:szCs w:val="21"/>
                <w:lang w:val="en-US" w:eastAsia="zh-CN"/>
              </w:rPr>
              <w:t>2</w:t>
            </w:r>
            <w:r>
              <w:rPr>
                <w:rFonts w:hint="default" w:ascii="Times New Roman" w:hAnsi="Times New Roman" w:eastAsia="宋体" w:cs="Times New Roman"/>
                <w:kern w:val="2"/>
                <w:sz w:val="21"/>
                <w:szCs w:val="21"/>
              </w:rPr>
              <w:t>5m</w:t>
            </w:r>
          </w:p>
        </w:tc>
        <w:tc>
          <w:tcPr>
            <w:tcW w:w="0" w:type="auto"/>
            <w:noWrap w:val="0"/>
            <w:vAlign w:val="center"/>
          </w:tcPr>
          <w:p w14:paraId="49D6D578">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排气筒高度：</w:t>
            </w:r>
            <w:r>
              <w:rPr>
                <w:rFonts w:hint="default" w:ascii="Times New Roman" w:hAnsi="Times New Roman" w:eastAsia="宋体" w:cs="Times New Roman"/>
                <w:kern w:val="2"/>
                <w:sz w:val="21"/>
                <w:szCs w:val="21"/>
                <w:lang w:val="en-US" w:eastAsia="zh-CN"/>
              </w:rPr>
              <w:t>2</w:t>
            </w:r>
            <w:r>
              <w:rPr>
                <w:rFonts w:hint="default" w:ascii="Times New Roman" w:hAnsi="Times New Roman" w:eastAsia="宋体" w:cs="Times New Roman"/>
                <w:kern w:val="2"/>
                <w:sz w:val="21"/>
                <w:szCs w:val="21"/>
              </w:rPr>
              <w:t>5m</w:t>
            </w:r>
          </w:p>
        </w:tc>
        <w:tc>
          <w:tcPr>
            <w:tcW w:w="1408" w:type="dxa"/>
            <w:noWrap w:val="0"/>
            <w:vAlign w:val="center"/>
          </w:tcPr>
          <w:p w14:paraId="4EE9241E">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排气筒高度：</w:t>
            </w:r>
            <w:r>
              <w:rPr>
                <w:rFonts w:hint="default" w:ascii="Times New Roman" w:hAnsi="Times New Roman" w:eastAsia="宋体" w:cs="Times New Roman"/>
                <w:kern w:val="2"/>
                <w:sz w:val="21"/>
                <w:szCs w:val="21"/>
                <w:lang w:val="en-US" w:eastAsia="zh-CN"/>
              </w:rPr>
              <w:t>2</w:t>
            </w:r>
            <w:r>
              <w:rPr>
                <w:rFonts w:hint="default" w:ascii="Times New Roman" w:hAnsi="Times New Roman" w:eastAsia="宋体" w:cs="Times New Roman"/>
                <w:kern w:val="2"/>
                <w:sz w:val="21"/>
                <w:szCs w:val="21"/>
              </w:rPr>
              <w:t>5m</w:t>
            </w:r>
          </w:p>
        </w:tc>
        <w:tc>
          <w:tcPr>
            <w:tcW w:w="1238" w:type="dxa"/>
            <w:noWrap w:val="0"/>
            <w:vAlign w:val="center"/>
          </w:tcPr>
          <w:p w14:paraId="2719A483">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排气筒高度：</w:t>
            </w:r>
            <w:r>
              <w:rPr>
                <w:rFonts w:hint="eastAsia" w:ascii="Times New Roman" w:hAnsi="Times New Roman" w:eastAsia="宋体" w:cs="Times New Roman"/>
                <w:kern w:val="2"/>
                <w:sz w:val="21"/>
                <w:szCs w:val="21"/>
                <w:lang w:val="en-US" w:eastAsia="zh-CN"/>
              </w:rPr>
              <w:t>1</w:t>
            </w:r>
            <w:r>
              <w:rPr>
                <w:rFonts w:hint="default" w:ascii="Times New Roman" w:hAnsi="Times New Roman" w:eastAsia="宋体" w:cs="Times New Roman"/>
                <w:kern w:val="2"/>
                <w:sz w:val="21"/>
                <w:szCs w:val="21"/>
                <w:lang w:val="en-US" w:eastAsia="zh-CN"/>
              </w:rPr>
              <w:t>5m</w:t>
            </w:r>
          </w:p>
        </w:tc>
      </w:tr>
      <w:tr w14:paraId="5884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242C93FB">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排放去向</w:t>
            </w:r>
          </w:p>
        </w:tc>
        <w:tc>
          <w:tcPr>
            <w:tcW w:w="7736" w:type="dxa"/>
            <w:gridSpan w:val="5"/>
            <w:noWrap w:val="0"/>
            <w:vAlign w:val="center"/>
          </w:tcPr>
          <w:p w14:paraId="1D47FAFA">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处理达标后排入外环境</w:t>
            </w:r>
          </w:p>
        </w:tc>
      </w:tr>
      <w:tr w14:paraId="6707E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noWrap w:val="0"/>
            <w:vAlign w:val="center"/>
          </w:tcPr>
          <w:p w14:paraId="6804C69A">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开孔情况</w:t>
            </w:r>
          </w:p>
        </w:tc>
        <w:tc>
          <w:tcPr>
            <w:tcW w:w="1621" w:type="dxa"/>
            <w:noWrap w:val="0"/>
            <w:vAlign w:val="center"/>
          </w:tcPr>
          <w:p w14:paraId="4666D431">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已开孔</w:t>
            </w:r>
          </w:p>
        </w:tc>
        <w:tc>
          <w:tcPr>
            <w:tcW w:w="1969" w:type="dxa"/>
            <w:noWrap w:val="0"/>
            <w:vAlign w:val="center"/>
          </w:tcPr>
          <w:p w14:paraId="39B1A12A">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已开孔</w:t>
            </w:r>
          </w:p>
        </w:tc>
        <w:tc>
          <w:tcPr>
            <w:tcW w:w="1500" w:type="dxa"/>
            <w:noWrap w:val="0"/>
            <w:vAlign w:val="center"/>
          </w:tcPr>
          <w:p w14:paraId="1958D755">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已开孔</w:t>
            </w:r>
          </w:p>
        </w:tc>
        <w:tc>
          <w:tcPr>
            <w:tcW w:w="1408" w:type="dxa"/>
            <w:noWrap w:val="0"/>
            <w:vAlign w:val="center"/>
          </w:tcPr>
          <w:p w14:paraId="1A5D114E">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已开孔</w:t>
            </w:r>
          </w:p>
        </w:tc>
        <w:tc>
          <w:tcPr>
            <w:tcW w:w="1238" w:type="dxa"/>
            <w:noWrap w:val="0"/>
            <w:vAlign w:val="center"/>
          </w:tcPr>
          <w:p w14:paraId="47DF3C40">
            <w:pPr>
              <w:widowControl w:val="0"/>
              <w:adjustRightInd w:val="0"/>
              <w:snapToGrid w:val="0"/>
              <w:spacing w:line="240" w:lineRule="auto"/>
              <w:ind w:left="0" w:leftChars="0" w:right="0" w:rightChars="0" w:firstLine="0" w:firstLineChars="0"/>
              <w:jc w:val="center"/>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已开孔</w:t>
            </w:r>
          </w:p>
        </w:tc>
      </w:tr>
    </w:tbl>
    <w:p w14:paraId="443E1726">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（三）噪声</w:t>
      </w:r>
    </w:p>
    <w:p w14:paraId="4EF84D43">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val="en-US" w:eastAsia="zh-CN"/>
        </w:rPr>
        <w:t>项目噪声主要为机械设备运行时产生的噪声，本公司对各类产噪设备进行合理布局、高噪声设备加装减振基础，减少噪声外扬、加强设备保养，确保正常运行，</w:t>
      </w:r>
      <w:r>
        <w:rPr>
          <w:rFonts w:hint="default" w:ascii="Times New Roman" w:hAnsi="Times New Roman" w:eastAsia="宋体" w:cs="Times New Roman"/>
          <w:sz w:val="24"/>
          <w:szCs w:val="24"/>
          <w:highlight w:val="none"/>
          <w:lang w:eastAsia="zh-CN"/>
        </w:rPr>
        <w:t>噪声排放需满足《工业企业厂界环境噪声排放标准》(GB12348-2008)中3类标准</w:t>
      </w:r>
      <w:r>
        <w:rPr>
          <w:rFonts w:hint="eastAsia" w:ascii="Times New Roman" w:hAnsi="Times New Roman" w:eastAsia="宋体" w:cs="Times New Roman"/>
          <w:sz w:val="24"/>
          <w:szCs w:val="24"/>
          <w:highlight w:val="none"/>
          <w:lang w:eastAsia="zh-CN"/>
        </w:rPr>
        <w:t>。</w:t>
      </w:r>
    </w:p>
    <w:p w14:paraId="34E837EB">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（四）固体废物</w:t>
      </w:r>
    </w:p>
    <w:p w14:paraId="1697A82C">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职工生活垃圾收集后统一交由环卫部门处理；</w:t>
      </w:r>
      <w:r>
        <w:rPr>
          <w:rFonts w:hint="eastAsia" w:ascii="Times New Roman" w:hAnsi="Times New Roman" w:eastAsia="宋体" w:cs="Times New Roman"/>
          <w:sz w:val="24"/>
          <w:szCs w:val="24"/>
          <w:highlight w:val="none"/>
          <w:lang w:val="en-US" w:eastAsia="zh-CN"/>
        </w:rPr>
        <w:t>生活垃圾由当地环卫部门统一清运处置，危险废物收集后储存于危废暂存库，并委托安徽省创美环保科技有限公司处置。</w:t>
      </w:r>
    </w:p>
    <w:p w14:paraId="395DF4D3">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四、环境保护设施调试效果</w:t>
      </w:r>
    </w:p>
    <w:p w14:paraId="53D649B3">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eastAsia="zh-CN"/>
        </w:rPr>
        <w:t>）废气</w:t>
      </w:r>
    </w:p>
    <w:p w14:paraId="144072D4">
      <w:pPr>
        <w:widowControl/>
        <w:adjustRightInd w:val="0"/>
        <w:snapToGrid w:val="0"/>
        <w:spacing w:line="360" w:lineRule="auto"/>
        <w:ind w:firstLine="480" w:firstLineChars="200"/>
        <w:jc w:val="both"/>
        <w:rPr>
          <w:rFonts w:hint="default" w:ascii="Times New Roman" w:hAnsi="Times New Roman" w:eastAsia="宋体" w:cs="Times New Roman"/>
          <w:kern w:val="0"/>
          <w:sz w:val="24"/>
          <w:szCs w:val="24"/>
          <w:lang w:val="en-US" w:eastAsia="zh-CN" w:bidi="ar-SA"/>
        </w:rPr>
      </w:pPr>
      <w:bookmarkStart w:id="0" w:name="_Hlk35549413"/>
      <w:r>
        <w:rPr>
          <w:rFonts w:hint="eastAsia" w:ascii="Times New Roman" w:hAnsi="Times New Roman" w:eastAsia="宋体" w:cs="Times New Roman"/>
          <w:sz w:val="24"/>
          <w:szCs w:val="24"/>
          <w:highlight w:val="none"/>
          <w:lang w:val="en-US" w:eastAsia="zh-CN"/>
        </w:rPr>
        <w:t>根据本次竣工验收检测，</w:t>
      </w:r>
      <w:r>
        <w:rPr>
          <w:rFonts w:hint="eastAsia" w:ascii="Times New Roman" w:hAnsi="Times New Roman" w:eastAsia="宋体" w:cs="Times New Roman"/>
          <w:kern w:val="0"/>
          <w:sz w:val="24"/>
          <w:szCs w:val="24"/>
          <w:lang w:val="en-US" w:eastAsia="zh-CN" w:bidi="ar-SA"/>
        </w:rPr>
        <w:t>污水处理站废气中氨、硫化氢、臭气浓度满足《恶臭污染物排放标准》（</w:t>
      </w:r>
      <w:r>
        <w:rPr>
          <w:rFonts w:hint="default" w:ascii="Times New Roman" w:hAnsi="Times New Roman" w:eastAsia="宋体" w:cs="Times New Roman"/>
          <w:kern w:val="0"/>
          <w:sz w:val="24"/>
          <w:szCs w:val="24"/>
          <w:lang w:val="en-US" w:eastAsia="zh-CN" w:bidi="ar-SA"/>
        </w:rPr>
        <w:t>GB 14554-93</w:t>
      </w:r>
      <w:r>
        <w:rPr>
          <w:rFonts w:hint="eastAsia" w:ascii="Times New Roman" w:hAnsi="Times New Roman" w:eastAsia="宋体" w:cs="Times New Roman"/>
          <w:kern w:val="0"/>
          <w:sz w:val="24"/>
          <w:szCs w:val="24"/>
          <w:lang w:val="en-US" w:eastAsia="zh-CN" w:bidi="ar-SA"/>
        </w:rPr>
        <w:t>）；非甲烷总烃满足安徽省地方标准《固定源挥发性有机物综合排放标准第</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部分：有机化学品制造工业》（</w:t>
      </w:r>
      <w:r>
        <w:rPr>
          <w:rFonts w:hint="default" w:ascii="Times New Roman" w:hAnsi="Times New Roman" w:eastAsia="宋体" w:cs="Times New Roman"/>
          <w:kern w:val="0"/>
          <w:sz w:val="24"/>
          <w:szCs w:val="24"/>
          <w:lang w:val="en-US" w:eastAsia="zh-CN" w:bidi="ar-SA"/>
        </w:rPr>
        <w:t>DB34/4812.3-2024</w:t>
      </w:r>
      <w:r>
        <w:rPr>
          <w:rFonts w:hint="eastAsia" w:ascii="Times New Roman" w:hAnsi="Times New Roman" w:eastAsia="宋体" w:cs="Times New Roman"/>
          <w:kern w:val="0"/>
          <w:sz w:val="24"/>
          <w:szCs w:val="24"/>
          <w:lang w:val="en-US" w:eastAsia="zh-CN" w:bidi="ar-SA"/>
        </w:rPr>
        <w:t>）；储罐、危废库废气中的非甲烷总烃满足安徽省地方标准《固定源挥发性有机物综合排放标准第</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部分：有机化学品制造工业》（</w:t>
      </w:r>
      <w:r>
        <w:rPr>
          <w:rFonts w:hint="default" w:ascii="Times New Roman" w:hAnsi="Times New Roman" w:eastAsia="宋体" w:cs="Times New Roman"/>
          <w:kern w:val="0"/>
          <w:sz w:val="24"/>
          <w:szCs w:val="24"/>
          <w:lang w:val="en-US" w:eastAsia="zh-CN" w:bidi="ar-SA"/>
        </w:rPr>
        <w:t>DB34/4812.3-2024</w:t>
      </w:r>
      <w:r>
        <w:rPr>
          <w:rFonts w:hint="eastAsia" w:ascii="Times New Roman" w:hAnsi="Times New Roman" w:eastAsia="宋体" w:cs="Times New Roman"/>
          <w:kern w:val="0"/>
          <w:sz w:val="24"/>
          <w:szCs w:val="24"/>
          <w:lang w:val="en-US" w:eastAsia="zh-CN" w:bidi="ar-SA"/>
        </w:rPr>
        <w:t>）；车间含卤废气中的非甲烷总烃满足安徽省地方标准《固定源挥发性有机物综合排放标准第</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部分：有机化学品制造工业》（</w:t>
      </w:r>
      <w:r>
        <w:rPr>
          <w:rFonts w:hint="default" w:ascii="Times New Roman" w:hAnsi="Times New Roman" w:eastAsia="宋体" w:cs="Times New Roman"/>
          <w:kern w:val="0"/>
          <w:sz w:val="24"/>
          <w:szCs w:val="24"/>
          <w:lang w:val="en-US" w:eastAsia="zh-CN" w:bidi="ar-SA"/>
        </w:rPr>
        <w:t>DB34/4812.3-2024</w:t>
      </w:r>
      <w:r>
        <w:rPr>
          <w:rFonts w:hint="eastAsia" w:ascii="Times New Roman" w:hAnsi="Times New Roman" w:eastAsia="宋体" w:cs="Times New Roman"/>
          <w:kern w:val="0"/>
          <w:sz w:val="24"/>
          <w:szCs w:val="24"/>
          <w:lang w:val="en-US" w:eastAsia="zh-CN" w:bidi="ar-SA"/>
        </w:rPr>
        <w:t>）；RTO燃烧废气中的颗粒物、二氧化硫、氮氧化物满足《石油化学工业污染物排放标准》（</w:t>
      </w:r>
      <w:r>
        <w:rPr>
          <w:rFonts w:hint="default" w:ascii="Times New Roman" w:hAnsi="Times New Roman" w:eastAsia="宋体" w:cs="Times New Roman"/>
          <w:kern w:val="0"/>
          <w:sz w:val="24"/>
          <w:szCs w:val="24"/>
          <w:lang w:val="en-US" w:eastAsia="zh-CN" w:bidi="ar-SA"/>
        </w:rPr>
        <w:t>GB 31571-2015</w:t>
      </w:r>
      <w:r>
        <w:rPr>
          <w:rFonts w:hint="eastAsia" w:ascii="Times New Roman" w:hAnsi="Times New Roman" w:eastAsia="宋体" w:cs="Times New Roman"/>
          <w:kern w:val="0"/>
          <w:sz w:val="24"/>
          <w:szCs w:val="24"/>
          <w:lang w:val="en-US" w:eastAsia="zh-CN" w:bidi="ar-SA"/>
        </w:rPr>
        <w:t>）及修改单（</w:t>
      </w:r>
      <w:r>
        <w:rPr>
          <w:rFonts w:hint="default" w:ascii="Times New Roman" w:hAnsi="Times New Roman" w:eastAsia="宋体" w:cs="Times New Roman"/>
          <w:kern w:val="0"/>
          <w:sz w:val="24"/>
          <w:szCs w:val="24"/>
          <w:lang w:val="en-US" w:eastAsia="zh-CN" w:bidi="ar-SA"/>
        </w:rPr>
        <w:t>GB31571-2015</w:t>
      </w:r>
      <w:r>
        <w:rPr>
          <w:rFonts w:hint="eastAsia" w:ascii="Times New Roman" w:hAnsi="Times New Roman" w:eastAsia="宋体" w:cs="Times New Roman"/>
          <w:kern w:val="0"/>
          <w:sz w:val="24"/>
          <w:szCs w:val="24"/>
          <w:lang w:val="en-US" w:eastAsia="zh-CN" w:bidi="ar-SA"/>
        </w:rPr>
        <w:t>）、林格曼黑度满足工业炉窑大气污染物排放标准（</w:t>
      </w:r>
      <w:r>
        <w:rPr>
          <w:rFonts w:hint="default" w:ascii="Times New Roman" w:hAnsi="Times New Roman" w:eastAsia="宋体" w:cs="Times New Roman"/>
          <w:kern w:val="0"/>
          <w:sz w:val="24"/>
          <w:szCs w:val="24"/>
          <w:lang w:val="en-US" w:eastAsia="zh-CN" w:bidi="ar-SA"/>
        </w:rPr>
        <w:t>GB9078-1996</w:t>
      </w:r>
      <w:r>
        <w:rPr>
          <w:rFonts w:hint="eastAsia" w:ascii="Times New Roman" w:hAnsi="Times New Roman" w:eastAsia="宋体" w:cs="Times New Roman"/>
          <w:kern w:val="0"/>
          <w:sz w:val="24"/>
          <w:szCs w:val="24"/>
          <w:lang w:val="en-US" w:eastAsia="zh-CN" w:bidi="ar-SA"/>
        </w:rPr>
        <w:t>）、非甲烷总烃满足安徽省地方标准《固定源挥发性有机物综合排放标准第</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部分：有机化学品制造工业》（</w:t>
      </w:r>
      <w:r>
        <w:rPr>
          <w:rFonts w:hint="default" w:ascii="Times New Roman" w:hAnsi="Times New Roman" w:eastAsia="宋体" w:cs="Times New Roman"/>
          <w:kern w:val="0"/>
          <w:sz w:val="24"/>
          <w:szCs w:val="24"/>
          <w:lang w:val="en-US" w:eastAsia="zh-CN" w:bidi="ar-SA"/>
        </w:rPr>
        <w:t>DB34/4812.3-2024</w:t>
      </w:r>
      <w:r>
        <w:rPr>
          <w:rFonts w:hint="eastAsia" w:ascii="Times New Roman" w:hAnsi="Times New Roman" w:eastAsia="宋体" w:cs="Times New Roman"/>
          <w:kern w:val="0"/>
          <w:sz w:val="24"/>
          <w:szCs w:val="24"/>
          <w:lang w:val="en-US" w:eastAsia="zh-CN" w:bidi="ar-SA"/>
        </w:rPr>
        <w:t>）；实验室废气中的非甲烷总烃满足安徽省地方标准《固定源挥发性有机物综合排放标准第</w:t>
      </w:r>
      <w:r>
        <w:rPr>
          <w:rFonts w:hint="default" w:ascii="Times New Roman" w:hAnsi="Times New Roman" w:eastAsia="宋体" w:cs="Times New Roman"/>
          <w:kern w:val="0"/>
          <w:sz w:val="24"/>
          <w:szCs w:val="24"/>
          <w:lang w:val="en-US" w:eastAsia="zh-CN" w:bidi="ar-SA"/>
        </w:rPr>
        <w:t>3</w:t>
      </w:r>
      <w:r>
        <w:rPr>
          <w:rFonts w:hint="eastAsia" w:ascii="Times New Roman" w:hAnsi="Times New Roman" w:eastAsia="宋体" w:cs="Times New Roman"/>
          <w:kern w:val="0"/>
          <w:sz w:val="24"/>
          <w:szCs w:val="24"/>
          <w:lang w:val="en-US" w:eastAsia="zh-CN" w:bidi="ar-SA"/>
        </w:rPr>
        <w:t>部分：有机化学品制造工业》（</w:t>
      </w:r>
      <w:r>
        <w:rPr>
          <w:rFonts w:hint="default" w:ascii="Times New Roman" w:hAnsi="Times New Roman" w:eastAsia="宋体" w:cs="Times New Roman"/>
          <w:kern w:val="0"/>
          <w:sz w:val="24"/>
          <w:szCs w:val="24"/>
          <w:lang w:val="en-US" w:eastAsia="zh-CN" w:bidi="ar-SA"/>
        </w:rPr>
        <w:t>DB34/4812.3-2024</w:t>
      </w:r>
      <w:r>
        <w:rPr>
          <w:rFonts w:hint="eastAsia" w:ascii="Times New Roman" w:hAnsi="Times New Roman" w:eastAsia="宋体" w:cs="Times New Roman"/>
          <w:kern w:val="0"/>
          <w:sz w:val="24"/>
          <w:szCs w:val="24"/>
          <w:lang w:val="en-US" w:eastAsia="zh-CN" w:bidi="ar-SA"/>
        </w:rPr>
        <w:t>）。</w:t>
      </w:r>
    </w:p>
    <w:p w14:paraId="7905B9E5">
      <w:pPr>
        <w:pStyle w:val="2"/>
        <w:widowControl/>
        <w:adjustRightInd w:val="0"/>
        <w:snapToGrid w:val="0"/>
        <w:spacing w:line="360" w:lineRule="auto"/>
        <w:ind w:firstLine="480" w:firstLineChars="200"/>
        <w:rPr>
          <w:rFonts w:hint="eastAsia"/>
          <w:bCs/>
          <w:color w:val="auto"/>
          <w:sz w:val="24"/>
        </w:rPr>
      </w:pPr>
      <w:r>
        <w:rPr>
          <w:rFonts w:hint="default" w:ascii="Times New Roman" w:hAnsi="Times New Roman" w:eastAsia="宋体" w:cs="Times New Roman"/>
          <w:kern w:val="0"/>
          <w:sz w:val="24"/>
        </w:rPr>
        <w:t>根据监测结果，</w:t>
      </w:r>
      <w:r>
        <w:rPr>
          <w:rFonts w:hint="default" w:ascii="Times New Roman" w:hAnsi="Times New Roman" w:eastAsia="宋体" w:cs="Times New Roman"/>
          <w:kern w:val="0"/>
          <w:sz w:val="24"/>
          <w:szCs w:val="24"/>
          <w:lang w:val="en-US" w:eastAsia="zh-CN" w:bidi="ar"/>
        </w:rPr>
        <w:t>厂界无组织废气中颗粒物、非甲烷总烃</w:t>
      </w:r>
      <w:r>
        <w:rPr>
          <w:rFonts w:hint="eastAsia" w:ascii="Times New Roman" w:hAnsi="Times New Roman" w:eastAsia="宋体" w:cs="Times New Roman"/>
          <w:kern w:val="0"/>
          <w:sz w:val="24"/>
          <w:szCs w:val="24"/>
          <w:lang w:val="en-US" w:eastAsia="zh-CN" w:bidi="ar"/>
        </w:rPr>
        <w:t>满足</w:t>
      </w:r>
      <w:r>
        <w:rPr>
          <w:rFonts w:hint="default" w:ascii="Times New Roman" w:hAnsi="Times New Roman" w:eastAsia="宋体" w:cs="Times New Roman"/>
          <w:kern w:val="0"/>
          <w:sz w:val="24"/>
          <w:szCs w:val="24"/>
          <w:lang w:val="en-US" w:eastAsia="zh-CN" w:bidi="ar"/>
        </w:rPr>
        <w:t>《石油化学工业污染物排放标准》（GB 31571-2015），硫化氢</w:t>
      </w:r>
      <w:r>
        <w:rPr>
          <w:rFonts w:hint="eastAsia" w:ascii="Times New Roman" w:hAnsi="Times New Roman" w:eastAsia="宋体" w:cs="Times New Roman"/>
          <w:kern w:val="0"/>
          <w:sz w:val="24"/>
          <w:szCs w:val="24"/>
          <w:lang w:val="en-US" w:eastAsia="zh-CN" w:bidi="ar"/>
        </w:rPr>
        <w:t>、氨、臭气浓度满足</w:t>
      </w:r>
      <w:r>
        <w:rPr>
          <w:rFonts w:hint="default" w:ascii="Times New Roman" w:hAnsi="Times New Roman" w:eastAsia="宋体" w:cs="Times New Roman"/>
          <w:kern w:val="0"/>
          <w:sz w:val="24"/>
          <w:szCs w:val="24"/>
          <w:lang w:val="en-US" w:eastAsia="zh-CN" w:bidi="ar"/>
        </w:rPr>
        <w:t>《恶臭污染物排放标准》（GB14554-</w:t>
      </w:r>
      <w:r>
        <w:rPr>
          <w:rFonts w:hint="eastAsia" w:ascii="Times New Roman" w:hAnsi="Times New Roman" w:eastAsia="宋体" w:cs="Times New Roman"/>
          <w:kern w:val="0"/>
          <w:sz w:val="24"/>
          <w:szCs w:val="24"/>
          <w:lang w:val="en-US" w:eastAsia="zh-CN" w:bidi="ar"/>
        </w:rPr>
        <w:t>19</w:t>
      </w:r>
      <w:r>
        <w:rPr>
          <w:rFonts w:hint="default" w:ascii="Times New Roman" w:hAnsi="Times New Roman" w:eastAsia="宋体" w:cs="Times New Roman"/>
          <w:kern w:val="0"/>
          <w:sz w:val="24"/>
          <w:szCs w:val="24"/>
          <w:lang w:val="en-US" w:eastAsia="zh-CN" w:bidi="ar"/>
        </w:rPr>
        <w:t>93）。</w:t>
      </w:r>
      <w:r>
        <w:rPr>
          <w:rFonts w:hint="eastAsia" w:ascii="Times New Roman" w:hAnsi="Times New Roman" w:eastAsia="宋体" w:cs="Times New Roman"/>
          <w:kern w:val="0"/>
          <w:sz w:val="24"/>
          <w:szCs w:val="24"/>
          <w:lang w:val="en-US" w:eastAsia="zh-CN" w:bidi="ar"/>
        </w:rPr>
        <w:t>厂内无组织废气</w:t>
      </w:r>
      <w:r>
        <w:rPr>
          <w:rFonts w:hint="eastAsia" w:ascii="Times New Roman" w:hAnsi="Times New Roman" w:eastAsia="宋体" w:cs="Times New Roman"/>
          <w:sz w:val="24"/>
          <w:szCs w:val="24"/>
          <w:lang w:val="en-US" w:eastAsia="zh-CN" w:bidi="ar-SA"/>
        </w:rPr>
        <w:t>非甲烷总烃满足安徽省地方标准《固定源挥发性有机物综合排放标准第</w:t>
      </w:r>
      <w:r>
        <w:rPr>
          <w:rFonts w:hint="default" w:ascii="Times New Roman" w:hAnsi="Times New Roman" w:eastAsia="宋体" w:cs="Times New Roman"/>
          <w:sz w:val="24"/>
          <w:szCs w:val="24"/>
          <w:lang w:val="en-US" w:eastAsia="zh-CN" w:bidi="ar-SA"/>
        </w:rPr>
        <w:t>3</w:t>
      </w:r>
      <w:r>
        <w:rPr>
          <w:rFonts w:hint="eastAsia" w:ascii="Times New Roman" w:hAnsi="Times New Roman" w:eastAsia="宋体" w:cs="Times New Roman"/>
          <w:sz w:val="24"/>
          <w:szCs w:val="24"/>
          <w:lang w:val="en-US" w:eastAsia="zh-CN" w:bidi="ar-SA"/>
        </w:rPr>
        <w:t>部分：有机化学品制造工业》</w:t>
      </w:r>
      <w:r>
        <w:rPr>
          <w:rFonts w:hint="eastAsia" w:eastAsia="宋体" w:cs="Times New Roman"/>
          <w:sz w:val="24"/>
          <w:szCs w:val="24"/>
          <w:lang w:val="en-US" w:eastAsia="zh-CN" w:bidi="ar-SA"/>
        </w:rPr>
        <w:t>。</w:t>
      </w:r>
    </w:p>
    <w:p w14:paraId="0D6DABEF">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eastAsia="zh-CN"/>
        </w:rPr>
        <w:t>）厂界噪声</w:t>
      </w:r>
    </w:p>
    <w:bookmarkEnd w:id="0"/>
    <w:p w14:paraId="40D82CE8">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验收监测期间</w:t>
      </w: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除南侧厂界因施工无法进入未测外，其他</w:t>
      </w:r>
      <w:r>
        <w:rPr>
          <w:rFonts w:hint="default" w:ascii="Times New Roman" w:hAnsi="Times New Roman" w:eastAsia="宋体" w:cs="Times New Roman"/>
          <w:sz w:val="24"/>
          <w:szCs w:val="24"/>
          <w:highlight w:val="none"/>
          <w:lang w:eastAsia="zh-CN"/>
        </w:rPr>
        <w:t>厂界昼间和夜间噪声监测结果均未超过《工业企业厂界环境噪声排放标准》（GB12348-2008）中</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eastAsia="zh-CN"/>
        </w:rPr>
        <w:t>类区标准限值，为达标排放。</w:t>
      </w:r>
    </w:p>
    <w:p w14:paraId="71FD7551">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（四）固体废物</w:t>
      </w:r>
    </w:p>
    <w:p w14:paraId="5FA4F302">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职工生活垃圾收集后统一交由环卫部门处理；</w:t>
      </w:r>
      <w:r>
        <w:rPr>
          <w:rFonts w:hint="default" w:ascii="Times New Roman" w:hAnsi="Times New Roman" w:eastAsia="宋体" w:cs="Times New Roman"/>
          <w:sz w:val="24"/>
          <w:szCs w:val="24"/>
          <w:highlight w:val="none"/>
          <w:lang w:val="en-US" w:eastAsia="zh-CN"/>
        </w:rPr>
        <w:t>精馏残渣</w:t>
      </w:r>
      <w:r>
        <w:rPr>
          <w:rFonts w:hint="eastAsia" w:ascii="Times New Roman" w:hAnsi="Times New Roman" w:eastAsia="宋体" w:cs="Times New Roman"/>
          <w:sz w:val="24"/>
          <w:szCs w:val="24"/>
          <w:highlight w:val="none"/>
          <w:lang w:val="en-US" w:eastAsia="zh-CN"/>
        </w:rPr>
        <w:t>、废活性炭、污泥、包装材料、废焦油等危险废物收集后储存于危废暂存库，并委托安徽省创美环保科技有限公司处置</w:t>
      </w:r>
      <w:r>
        <w:rPr>
          <w:rFonts w:hint="eastAsia" w:ascii="Times New Roman" w:hAnsi="Times New Roman" w:eastAsia="宋体" w:cs="Times New Roman"/>
          <w:sz w:val="24"/>
          <w:szCs w:val="24"/>
          <w:highlight w:val="none"/>
          <w:lang w:eastAsia="zh-CN"/>
        </w:rPr>
        <w:t>。</w:t>
      </w:r>
    </w:p>
    <w:p w14:paraId="28813772">
      <w:pPr>
        <w:pStyle w:val="7"/>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废水</w:t>
      </w:r>
    </w:p>
    <w:p w14:paraId="3F371DE6">
      <w:pPr>
        <w:pStyle w:val="7"/>
        <w:spacing w:before="0" w:line="360" w:lineRule="auto"/>
        <w:ind w:firstLine="48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根据本次验收检测，</w:t>
      </w:r>
      <w:r>
        <w:rPr>
          <w:rFonts w:hint="default" w:ascii="Times New Roman" w:hAnsi="Times New Roman" w:eastAsia="宋体" w:cs="Times New Roman"/>
          <w:sz w:val="24"/>
          <w:szCs w:val="24"/>
          <w:highlight w:val="none"/>
          <w:lang w:val="en-US" w:eastAsia="zh-CN"/>
        </w:rPr>
        <w:t>废水经厂区污水站处理</w:t>
      </w:r>
      <w:r>
        <w:rPr>
          <w:rFonts w:hint="eastAsia" w:ascii="Times New Roman" w:hAnsi="Times New Roman" w:eastAsia="宋体" w:cs="Times New Roman"/>
          <w:sz w:val="24"/>
          <w:szCs w:val="24"/>
          <w:highlight w:val="none"/>
          <w:lang w:val="en-US" w:eastAsia="zh-CN"/>
        </w:rPr>
        <w:t>后，</w:t>
      </w:r>
      <w:r>
        <w:rPr>
          <w:rFonts w:hint="eastAsia" w:ascii="Times New Roman" w:hAnsi="Times New Roman" w:eastAsia="宋体" w:cs="Times New Roman"/>
          <w:sz w:val="24"/>
          <w:szCs w:val="24"/>
          <w:highlight w:val="none"/>
          <w:lang w:eastAsia="zh-CN"/>
        </w:rPr>
        <w:t>废水</w:t>
      </w:r>
      <w:r>
        <w:rPr>
          <w:rFonts w:hint="eastAsia" w:ascii="Times New Roman" w:hAnsi="Times New Roman" w:eastAsia="宋体" w:cs="Times New Roman"/>
          <w:sz w:val="24"/>
          <w:szCs w:val="24"/>
          <w:highlight w:val="none"/>
          <w:lang w:val="en-US" w:eastAsia="zh-CN"/>
        </w:rPr>
        <w:t>满足与</w:t>
      </w:r>
      <w:r>
        <w:rPr>
          <w:rFonts w:hint="default" w:ascii="Times New Roman" w:hAnsi="Times New Roman" w:eastAsia="宋体" w:cs="Times New Roman"/>
          <w:sz w:val="24"/>
          <w:szCs w:val="24"/>
          <w:highlight w:val="none"/>
          <w:lang w:val="en-US" w:eastAsia="zh-CN"/>
        </w:rPr>
        <w:t>安庆亚同城西污水厂</w:t>
      </w:r>
      <w:r>
        <w:rPr>
          <w:rFonts w:hint="eastAsia"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lang w:val="en-US" w:eastAsia="zh-CN"/>
        </w:rPr>
        <w:t>接管协议标准值。</w:t>
      </w:r>
    </w:p>
    <w:p w14:paraId="0864DEC4">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六</w:t>
      </w:r>
      <w:r>
        <w:rPr>
          <w:rFonts w:hint="eastAsia" w:ascii="Times New Roman" w:hAnsi="Times New Roman" w:eastAsia="宋体" w:cs="Times New Roman"/>
          <w:sz w:val="24"/>
          <w:szCs w:val="24"/>
          <w:highlight w:val="none"/>
          <w:lang w:eastAsia="zh-CN"/>
        </w:rPr>
        <w:t>）总量控制</w:t>
      </w:r>
    </w:p>
    <w:p w14:paraId="720F3087">
      <w:pPr>
        <w:pStyle w:val="7"/>
        <w:spacing w:before="0" w:line="360" w:lineRule="auto"/>
        <w:ind w:firstLine="480"/>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根据本次验收监测，</w:t>
      </w:r>
      <w:r>
        <w:rPr>
          <w:rFonts w:hint="eastAsia" w:ascii="Times New Roman" w:hAnsi="Times New Roman" w:eastAsia="宋体" w:cs="Times New Roman"/>
          <w:sz w:val="24"/>
          <w:szCs w:val="24"/>
          <w:highlight w:val="none"/>
          <w:lang w:val="en-US" w:eastAsia="zh-CN"/>
        </w:rPr>
        <w:t>非甲烷总烃</w:t>
      </w:r>
      <w:r>
        <w:rPr>
          <w:rFonts w:hint="eastAsia" w:ascii="Times New Roman" w:hAnsi="Times New Roman" w:eastAsia="宋体" w:cs="Times New Roman"/>
          <w:sz w:val="24"/>
          <w:szCs w:val="24"/>
          <w:highlight w:val="none"/>
          <w:lang w:eastAsia="zh-CN"/>
        </w:rPr>
        <w:t>排放总量为</w:t>
      </w:r>
      <w:r>
        <w:rPr>
          <w:rFonts w:hint="eastAsia" w:cs="Times New Roman"/>
          <w:sz w:val="24"/>
          <w:szCs w:val="24"/>
          <w:highlight w:val="none"/>
          <w:lang w:val="en-US" w:eastAsia="zh-CN"/>
        </w:rPr>
        <w:t>3.79</w:t>
      </w:r>
      <w:r>
        <w:rPr>
          <w:rFonts w:hint="eastAsia" w:ascii="Times New Roman" w:hAnsi="Times New Roman" w:eastAsia="宋体" w:cs="Times New Roman"/>
          <w:sz w:val="24"/>
          <w:szCs w:val="24"/>
          <w:highlight w:val="none"/>
          <w:lang w:eastAsia="zh-CN"/>
        </w:rPr>
        <w:t>t/a，未超过环评核定总量</w:t>
      </w:r>
      <w:r>
        <w:rPr>
          <w:rFonts w:hint="eastAsia" w:ascii="Times New Roman" w:hAnsi="Times New Roman" w:eastAsia="宋体" w:cs="Times New Roman"/>
          <w:sz w:val="24"/>
          <w:szCs w:val="24"/>
          <w:highlight w:val="none"/>
          <w:lang w:val="en-US" w:eastAsia="zh-CN"/>
        </w:rPr>
        <w:t>32.234</w:t>
      </w:r>
      <w:r>
        <w:rPr>
          <w:rFonts w:hint="eastAsia" w:ascii="Times New Roman" w:hAnsi="Times New Roman" w:eastAsia="宋体" w:cs="Times New Roman"/>
          <w:sz w:val="24"/>
          <w:szCs w:val="24"/>
          <w:highlight w:val="none"/>
          <w:lang w:eastAsia="zh-CN"/>
        </w:rPr>
        <w:t>t/a</w:t>
      </w:r>
      <w:r>
        <w:rPr>
          <w:rFonts w:hint="eastAsia" w:cs="Times New Roman"/>
          <w:sz w:val="24"/>
          <w:szCs w:val="24"/>
          <w:highlight w:val="none"/>
          <w:lang w:eastAsia="zh-CN"/>
        </w:rPr>
        <w:t>；</w:t>
      </w:r>
      <w:r>
        <w:rPr>
          <w:rFonts w:hint="eastAsia" w:cs="Times New Roman"/>
          <w:sz w:val="24"/>
          <w:szCs w:val="24"/>
          <w:highlight w:val="none"/>
          <w:lang w:val="en-US" w:eastAsia="zh-CN"/>
        </w:rPr>
        <w:t>二氧化硫未检出；氮氧化物</w:t>
      </w:r>
      <w:r>
        <w:rPr>
          <w:rFonts w:hint="eastAsia" w:ascii="Times New Roman" w:hAnsi="Times New Roman" w:eastAsia="宋体" w:cs="Times New Roman"/>
          <w:sz w:val="24"/>
          <w:szCs w:val="24"/>
          <w:highlight w:val="none"/>
          <w:lang w:eastAsia="zh-CN"/>
        </w:rPr>
        <w:t>排放总量为</w:t>
      </w:r>
      <w:r>
        <w:rPr>
          <w:rFonts w:hint="eastAsia" w:cs="Times New Roman"/>
          <w:sz w:val="24"/>
          <w:szCs w:val="24"/>
          <w:highlight w:val="none"/>
          <w:lang w:val="en-US" w:eastAsia="zh-CN"/>
        </w:rPr>
        <w:t>0.064</w:t>
      </w:r>
      <w:r>
        <w:rPr>
          <w:rFonts w:hint="eastAsia" w:ascii="Times New Roman" w:hAnsi="Times New Roman" w:eastAsia="宋体" w:cs="Times New Roman"/>
          <w:sz w:val="24"/>
          <w:szCs w:val="24"/>
          <w:highlight w:val="none"/>
          <w:lang w:eastAsia="zh-CN"/>
        </w:rPr>
        <w:t>t/a，未超过环评核定总量</w:t>
      </w:r>
      <w:r>
        <w:rPr>
          <w:rFonts w:hint="eastAsia" w:eastAsia="宋体" w:cs="Times New Roman"/>
          <w:sz w:val="24"/>
          <w:szCs w:val="24"/>
          <w:highlight w:val="none"/>
          <w:lang w:val="en-US" w:eastAsia="zh-CN"/>
        </w:rPr>
        <w:t>0.64</w:t>
      </w:r>
      <w:r>
        <w:rPr>
          <w:rFonts w:hint="eastAsia" w:ascii="Times New Roman" w:hAnsi="Times New Roman" w:eastAsia="宋体" w:cs="Times New Roman"/>
          <w:sz w:val="24"/>
          <w:szCs w:val="24"/>
          <w:highlight w:val="none"/>
          <w:lang w:eastAsia="zh-CN"/>
        </w:rPr>
        <w:t>t/a</w:t>
      </w:r>
      <w:r>
        <w:rPr>
          <w:rFonts w:hint="eastAsia"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COD的总量为0</w:t>
      </w:r>
      <w:r>
        <w:rPr>
          <w:rFonts w:hint="eastAsia" w:cs="Times New Roman"/>
          <w:sz w:val="24"/>
          <w:szCs w:val="24"/>
          <w:highlight w:val="none"/>
          <w:lang w:val="en-US" w:eastAsia="zh-CN"/>
        </w:rPr>
        <w:t>.400</w:t>
      </w:r>
      <w:r>
        <w:rPr>
          <w:rFonts w:hint="eastAsia" w:ascii="Times New Roman" w:hAnsi="Times New Roman" w:eastAsia="宋体" w:cs="Times New Roman"/>
          <w:sz w:val="24"/>
          <w:szCs w:val="24"/>
          <w:highlight w:val="none"/>
          <w:lang w:val="en-US" w:eastAsia="zh-CN"/>
        </w:rPr>
        <w:t>t/a，未超过环评核定总量的</w:t>
      </w:r>
      <w:r>
        <w:rPr>
          <w:rFonts w:hint="eastAsia" w:cs="Times New Roman"/>
          <w:sz w:val="24"/>
          <w:szCs w:val="24"/>
          <w:highlight w:val="none"/>
          <w:lang w:val="en-US" w:eastAsia="zh-CN"/>
        </w:rPr>
        <w:t>17.9559</w:t>
      </w:r>
      <w:r>
        <w:rPr>
          <w:rFonts w:hint="eastAsia" w:ascii="Times New Roman" w:hAnsi="Times New Roman" w:eastAsia="宋体" w:cs="Times New Roman"/>
          <w:sz w:val="24"/>
          <w:szCs w:val="24"/>
          <w:highlight w:val="none"/>
          <w:lang w:val="en-US" w:eastAsia="zh-CN"/>
        </w:rPr>
        <w:t>t/a；氨氮的总量为0.</w:t>
      </w:r>
      <w:r>
        <w:rPr>
          <w:rFonts w:hint="eastAsia" w:cs="Times New Roman"/>
          <w:sz w:val="24"/>
          <w:szCs w:val="24"/>
          <w:highlight w:val="none"/>
          <w:lang w:val="en-US" w:eastAsia="zh-CN"/>
        </w:rPr>
        <w:t>040</w:t>
      </w:r>
      <w:r>
        <w:rPr>
          <w:rFonts w:hint="eastAsia" w:ascii="Times New Roman" w:hAnsi="Times New Roman" w:eastAsia="宋体" w:cs="Times New Roman"/>
          <w:sz w:val="24"/>
          <w:szCs w:val="24"/>
          <w:highlight w:val="none"/>
          <w:lang w:val="en-US" w:eastAsia="zh-CN"/>
        </w:rPr>
        <w:t>t/a，未超过环评核定总量的</w:t>
      </w:r>
      <w:r>
        <w:rPr>
          <w:rFonts w:hint="eastAsia" w:cs="Times New Roman"/>
          <w:sz w:val="24"/>
          <w:szCs w:val="24"/>
          <w:highlight w:val="none"/>
          <w:lang w:val="en-US" w:eastAsia="zh-CN"/>
        </w:rPr>
        <w:t>2.693</w:t>
      </w:r>
      <w:r>
        <w:rPr>
          <w:rFonts w:hint="eastAsia" w:ascii="Times New Roman" w:hAnsi="Times New Roman" w:eastAsia="宋体" w:cs="Times New Roman"/>
          <w:sz w:val="24"/>
          <w:szCs w:val="24"/>
          <w:highlight w:val="none"/>
          <w:lang w:val="en-US" w:eastAsia="zh-CN"/>
        </w:rPr>
        <w:t>t/a。</w:t>
      </w:r>
    </w:p>
    <w:p w14:paraId="7FE17C4A">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rPr>
        <w:t>五、验收结论</w:t>
      </w:r>
    </w:p>
    <w:p w14:paraId="1285423E">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对照《建设项目竣工环境保护验收暂行办法》，本项目不存在《建设项目竣工环境保护验收暂行办法》中所规定的九类验收不合格情形，项目基本具备竣工环境保护验收条件，验收合格。</w:t>
      </w:r>
    </w:p>
    <w:p w14:paraId="691CC781">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六</w:t>
      </w:r>
      <w:r>
        <w:rPr>
          <w:rFonts w:hint="eastAsia" w:ascii="宋体" w:hAnsi="宋体" w:eastAsia="宋体" w:cs="宋体"/>
          <w:b/>
          <w:color w:val="auto"/>
          <w:sz w:val="28"/>
          <w:szCs w:val="28"/>
        </w:rPr>
        <w:t>、后续要求</w:t>
      </w:r>
    </w:p>
    <w:p w14:paraId="13C9B260">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1．企业按以上要求完善后并在切实落实项目环评及批复、国家法律法规及相关验收要求基础上，建议通过竣工环境保护验收。</w:t>
      </w:r>
    </w:p>
    <w:p w14:paraId="15371098">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2．企业应进一步完善各项环境保护规章制度和环境保护基础台账、档案及运行记录，制定环保设施操作规程，明确各岗位环保责任，加强环保设施安全管理，强化日常运行监管。</w:t>
      </w:r>
    </w:p>
    <w:p w14:paraId="147E3BDF">
      <w:pPr>
        <w:pStyle w:val="25"/>
        <w:spacing w:before="0" w:beforeAutospacing="0" w:after="0" w:afterAutospacing="0" w:line="360" w:lineRule="auto"/>
        <w:ind w:firstLine="562" w:firstLineChars="200"/>
        <w:outlineLvl w:val="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七</w:t>
      </w:r>
      <w:r>
        <w:rPr>
          <w:rFonts w:hint="eastAsia" w:ascii="宋体" w:hAnsi="宋体" w:eastAsia="宋体" w:cs="宋体"/>
          <w:b/>
          <w:color w:val="auto"/>
          <w:sz w:val="28"/>
          <w:szCs w:val="28"/>
        </w:rPr>
        <w:t>、验收人员信息</w:t>
      </w:r>
    </w:p>
    <w:p w14:paraId="5966F747">
      <w:pPr>
        <w:pStyle w:val="7"/>
        <w:spacing w:before="0" w:line="360" w:lineRule="auto"/>
        <w:ind w:firstLine="480"/>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本项目竣工环保验收工作组成员见下表。</w:t>
      </w:r>
    </w:p>
    <w:p w14:paraId="0D9775CC">
      <w:pPr>
        <w:pStyle w:val="28"/>
        <w:keepNext w:val="0"/>
        <w:keepLines w:val="0"/>
        <w:suppressLineNumbers w:val="0"/>
        <w:bidi w:val="0"/>
        <w:spacing w:before="0" w:beforeAutospacing="0" w:after="0" w:afterAutospacing="0"/>
        <w:ind w:left="0" w:right="0"/>
        <w:rPr>
          <w:rFonts w:hint="eastAsia" w:ascii="宋体" w:hAnsi="宋体" w:eastAsia="Times New Roman" w:cs="宋体"/>
          <w:bCs/>
          <w:color w:val="auto"/>
          <w:sz w:val="24"/>
          <w:lang w:val="en-US" w:eastAsia="zh-CN"/>
        </w:rPr>
      </w:pPr>
      <w:r>
        <w:rPr>
          <w:rFonts w:hint="eastAsia" w:ascii="宋体" w:hAnsi="宋体" w:eastAsia="Times New Roman" w:cs="宋体"/>
          <w:bCs/>
          <w:color w:val="auto"/>
          <w:sz w:val="24"/>
          <w:lang w:val="en-US" w:eastAsia="zh-CN"/>
        </w:rPr>
        <w:t>表</w:t>
      </w:r>
      <w:r>
        <w:rPr>
          <w:rFonts w:hint="eastAsia" w:ascii="宋体" w:hAnsi="宋体" w:cs="宋体"/>
          <w:bCs/>
          <w:color w:val="auto"/>
          <w:sz w:val="24"/>
          <w:lang w:val="en-US" w:eastAsia="zh-CN"/>
        </w:rPr>
        <w:t>3</w:t>
      </w:r>
      <w:r>
        <w:rPr>
          <w:rFonts w:hint="eastAsia" w:ascii="宋体" w:hAnsi="宋体" w:eastAsia="Times New Roman" w:cs="宋体"/>
          <w:bCs/>
          <w:color w:val="auto"/>
          <w:sz w:val="24"/>
          <w:lang w:val="en-US" w:eastAsia="zh-CN"/>
        </w:rPr>
        <w:t xml:space="preserve">  验收工作组成员一览表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844"/>
        <w:gridCol w:w="1563"/>
        <w:gridCol w:w="1986"/>
      </w:tblGrid>
      <w:tr w14:paraId="3D3F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DCD6D27">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姓名</w:t>
            </w:r>
          </w:p>
        </w:tc>
        <w:tc>
          <w:tcPr>
            <w:tcW w:w="2255" w:type="pct"/>
            <w:vAlign w:val="center"/>
          </w:tcPr>
          <w:p w14:paraId="51F78325">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单位</w:t>
            </w:r>
          </w:p>
        </w:tc>
        <w:tc>
          <w:tcPr>
            <w:tcW w:w="917" w:type="pct"/>
            <w:vAlign w:val="center"/>
          </w:tcPr>
          <w:p w14:paraId="10C1499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工作组角色</w:t>
            </w:r>
          </w:p>
        </w:tc>
        <w:tc>
          <w:tcPr>
            <w:tcW w:w="1165" w:type="pct"/>
            <w:vAlign w:val="center"/>
          </w:tcPr>
          <w:p w14:paraId="3DB39D5F">
            <w:pPr>
              <w:autoSpaceDE w:val="0"/>
              <w:autoSpaceDN w:val="0"/>
              <w:adjustRightInd w:val="0"/>
              <w:spacing w:line="360" w:lineRule="auto"/>
              <w:jc w:val="center"/>
              <w:rPr>
                <w:rFonts w:eastAsiaTheme="minorEastAsia"/>
                <w:b/>
                <w:color w:val="auto"/>
                <w:kern w:val="0"/>
                <w:szCs w:val="21"/>
                <w:highlight w:val="white"/>
                <w:lang w:val="zh-CN"/>
              </w:rPr>
            </w:pPr>
            <w:r>
              <w:rPr>
                <w:rFonts w:eastAsiaTheme="minorEastAsia"/>
                <w:b/>
                <w:color w:val="auto"/>
                <w:kern w:val="0"/>
                <w:szCs w:val="21"/>
                <w:highlight w:val="white"/>
                <w:lang w:val="zh-CN"/>
              </w:rPr>
              <w:t>电话</w:t>
            </w:r>
          </w:p>
        </w:tc>
      </w:tr>
      <w:tr w14:paraId="5F9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A348D48">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eastAsiaTheme="minorEastAsia"/>
                <w:color w:val="auto"/>
                <w:kern w:val="0"/>
                <w:sz w:val="21"/>
                <w:szCs w:val="21"/>
                <w:highlight w:val="white"/>
                <w:lang w:val="en-US" w:eastAsia="zh-CN" w:bidi="ar-SA"/>
              </w:rPr>
              <w:t>胡细干</w:t>
            </w:r>
          </w:p>
        </w:tc>
        <w:tc>
          <w:tcPr>
            <w:tcW w:w="2255" w:type="pct"/>
            <w:vAlign w:val="center"/>
          </w:tcPr>
          <w:p w14:paraId="0F5B62E3">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安庆汇辰科技有限公司</w:t>
            </w:r>
          </w:p>
        </w:tc>
        <w:tc>
          <w:tcPr>
            <w:tcW w:w="917" w:type="pct"/>
            <w:vAlign w:val="center"/>
          </w:tcPr>
          <w:p w14:paraId="6CC12D67">
            <w:pPr>
              <w:autoSpaceDE w:val="0"/>
              <w:autoSpaceDN w:val="0"/>
              <w:adjustRightInd w:val="0"/>
              <w:spacing w:line="360" w:lineRule="auto"/>
              <w:jc w:val="center"/>
              <w:rPr>
                <w:rFonts w:eastAsiaTheme="minorEastAsia"/>
                <w:color w:val="auto"/>
                <w:kern w:val="0"/>
                <w:szCs w:val="21"/>
                <w:highlight w:val="white"/>
                <w:lang w:val="zh-CN"/>
              </w:rPr>
            </w:pPr>
            <w:r>
              <w:rPr>
                <w:rFonts w:hint="eastAsia" w:eastAsiaTheme="minorEastAsia"/>
                <w:color w:val="auto"/>
                <w:kern w:val="0"/>
                <w:szCs w:val="21"/>
                <w:highlight w:val="white"/>
                <w:lang w:val="zh-CN"/>
              </w:rPr>
              <w:t>组长</w:t>
            </w:r>
          </w:p>
        </w:tc>
        <w:tc>
          <w:tcPr>
            <w:tcW w:w="1165" w:type="pct"/>
            <w:vAlign w:val="center"/>
          </w:tcPr>
          <w:p w14:paraId="4F66974C">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18079255788</w:t>
            </w:r>
          </w:p>
        </w:tc>
      </w:tr>
      <w:tr w14:paraId="499A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1993C080">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肖兵</w:t>
            </w:r>
          </w:p>
        </w:tc>
        <w:tc>
          <w:tcPr>
            <w:tcW w:w="2255" w:type="pct"/>
            <w:vAlign w:val="center"/>
          </w:tcPr>
          <w:p w14:paraId="6B83FBEA">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中石化安庆分公司</w:t>
            </w:r>
          </w:p>
        </w:tc>
        <w:tc>
          <w:tcPr>
            <w:tcW w:w="917" w:type="pct"/>
            <w:vAlign w:val="center"/>
          </w:tcPr>
          <w:p w14:paraId="2C2CD1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专家</w:t>
            </w:r>
          </w:p>
        </w:tc>
        <w:tc>
          <w:tcPr>
            <w:tcW w:w="1165" w:type="pct"/>
            <w:vAlign w:val="center"/>
          </w:tcPr>
          <w:p w14:paraId="05674926">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13955604949</w:t>
            </w:r>
          </w:p>
        </w:tc>
      </w:tr>
      <w:tr w14:paraId="479B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E06D494">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安乐生</w:t>
            </w:r>
          </w:p>
        </w:tc>
        <w:tc>
          <w:tcPr>
            <w:tcW w:w="3844" w:type="dxa"/>
            <w:vAlign w:val="center"/>
          </w:tcPr>
          <w:p w14:paraId="4876D46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安庆师范大学</w:t>
            </w:r>
          </w:p>
        </w:tc>
        <w:tc>
          <w:tcPr>
            <w:tcW w:w="1563" w:type="dxa"/>
            <w:vAlign w:val="center"/>
          </w:tcPr>
          <w:p w14:paraId="04073A0A">
            <w:pPr>
              <w:autoSpaceDE w:val="0"/>
              <w:autoSpaceDN w:val="0"/>
              <w:adjustRightInd w:val="0"/>
              <w:spacing w:line="360" w:lineRule="auto"/>
              <w:jc w:val="center"/>
              <w:rPr>
                <w:rFonts w:hint="eastAsia" w:eastAsiaTheme="minorEastAsia"/>
                <w:color w:val="auto"/>
                <w:kern w:val="0"/>
                <w:szCs w:val="21"/>
                <w:highlight w:val="white"/>
                <w:lang w:val="zh-CN"/>
              </w:rPr>
            </w:pPr>
            <w:r>
              <w:rPr>
                <w:rFonts w:hint="eastAsia" w:eastAsiaTheme="minorEastAsia"/>
                <w:color w:val="auto"/>
                <w:kern w:val="0"/>
                <w:szCs w:val="21"/>
                <w:highlight w:val="white"/>
                <w:lang w:val="en-US" w:eastAsia="zh-CN"/>
              </w:rPr>
              <w:t>专家</w:t>
            </w:r>
          </w:p>
        </w:tc>
        <w:tc>
          <w:tcPr>
            <w:tcW w:w="1986" w:type="dxa"/>
            <w:vAlign w:val="center"/>
          </w:tcPr>
          <w:p w14:paraId="5963FB01">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cs="Times New Roman"/>
                <w:i w:val="0"/>
                <w:iCs w:val="0"/>
                <w:color w:val="auto"/>
                <w:kern w:val="0"/>
                <w:sz w:val="21"/>
                <w:szCs w:val="21"/>
                <w:highlight w:val="none"/>
                <w:u w:val="none"/>
                <w:lang w:val="en-US" w:eastAsia="zh-CN" w:bidi="ar"/>
              </w:rPr>
              <w:t>15955565112</w:t>
            </w:r>
          </w:p>
        </w:tc>
      </w:tr>
      <w:tr w14:paraId="5FB3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8FACDB3">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陈祥和</w:t>
            </w:r>
          </w:p>
        </w:tc>
        <w:tc>
          <w:tcPr>
            <w:tcW w:w="2255" w:type="pct"/>
            <w:vAlign w:val="center"/>
          </w:tcPr>
          <w:p w14:paraId="19C7F785">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安徽中祥环境科技有限公司</w:t>
            </w:r>
          </w:p>
        </w:tc>
        <w:tc>
          <w:tcPr>
            <w:tcW w:w="917" w:type="pct"/>
            <w:vAlign w:val="center"/>
          </w:tcPr>
          <w:p w14:paraId="31660319">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en-US" w:eastAsia="zh-CN"/>
              </w:rPr>
              <w:t>专家</w:t>
            </w:r>
          </w:p>
        </w:tc>
        <w:tc>
          <w:tcPr>
            <w:tcW w:w="1165" w:type="pct"/>
            <w:vAlign w:val="center"/>
          </w:tcPr>
          <w:p w14:paraId="06D188E2">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13866052200</w:t>
            </w:r>
          </w:p>
        </w:tc>
      </w:tr>
      <w:tr w14:paraId="54370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4FDF63D">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秦有银</w:t>
            </w:r>
          </w:p>
        </w:tc>
        <w:tc>
          <w:tcPr>
            <w:tcW w:w="2255" w:type="pct"/>
            <w:vAlign w:val="center"/>
          </w:tcPr>
          <w:p w14:paraId="3DE15DE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10FF685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7B49EB04">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15027140319</w:t>
            </w:r>
          </w:p>
        </w:tc>
      </w:tr>
      <w:tr w14:paraId="600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84F0E8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张国胜</w:t>
            </w:r>
          </w:p>
        </w:tc>
        <w:tc>
          <w:tcPr>
            <w:tcW w:w="2255" w:type="pct"/>
            <w:vAlign w:val="center"/>
          </w:tcPr>
          <w:p w14:paraId="675D8B5A">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54682B8">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1B68B3E">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18956987933</w:t>
            </w:r>
          </w:p>
        </w:tc>
      </w:tr>
      <w:tr w14:paraId="066CE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50EF286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李勤锋</w:t>
            </w:r>
          </w:p>
        </w:tc>
        <w:tc>
          <w:tcPr>
            <w:tcW w:w="2255" w:type="pct"/>
            <w:vAlign w:val="center"/>
          </w:tcPr>
          <w:p w14:paraId="66BC3793">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zh-CN"/>
              </w:rPr>
              <w:t>安庆汇辰科技有限公司</w:t>
            </w:r>
          </w:p>
        </w:tc>
        <w:tc>
          <w:tcPr>
            <w:tcW w:w="917" w:type="pct"/>
            <w:vAlign w:val="center"/>
          </w:tcPr>
          <w:p w14:paraId="028723C0">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487EC0">
            <w:pPr>
              <w:autoSpaceDE w:val="0"/>
              <w:autoSpaceDN w:val="0"/>
              <w:adjustRightInd w:val="0"/>
              <w:spacing w:line="360" w:lineRule="auto"/>
              <w:jc w:val="center"/>
              <w:rPr>
                <w:rFonts w:hint="eastAsia" w:cs="Times New Roman" w:eastAsiaTheme="minorEastAsia"/>
                <w:color w:val="auto"/>
                <w:kern w:val="0"/>
                <w:sz w:val="21"/>
                <w:szCs w:val="21"/>
                <w:highlight w:val="white"/>
                <w:lang w:val="en-US" w:eastAsia="zh-CN" w:bidi="ar-SA"/>
              </w:rPr>
            </w:pPr>
            <w:r>
              <w:rPr>
                <w:rFonts w:hint="default" w:ascii="Times New Roman" w:hAnsi="Times New Roman" w:eastAsia="宋体" w:cs="Times New Roman"/>
                <w:b w:val="0"/>
                <w:bCs w:val="0"/>
                <w:kern w:val="2"/>
                <w:sz w:val="21"/>
                <w:szCs w:val="21"/>
                <w:lang w:val="en-US" w:eastAsia="zh-CN" w:bidi="ar"/>
              </w:rPr>
              <w:t>18164351288</w:t>
            </w:r>
          </w:p>
        </w:tc>
      </w:tr>
      <w:tr w14:paraId="0EB3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4BC11E41">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蔡健</w:t>
            </w:r>
          </w:p>
        </w:tc>
        <w:tc>
          <w:tcPr>
            <w:tcW w:w="2255" w:type="pct"/>
            <w:vAlign w:val="center"/>
          </w:tcPr>
          <w:p w14:paraId="4CC99003">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安徽普利药业有限公司</w:t>
            </w:r>
          </w:p>
        </w:tc>
        <w:tc>
          <w:tcPr>
            <w:tcW w:w="917" w:type="pct"/>
            <w:vAlign w:val="center"/>
          </w:tcPr>
          <w:p w14:paraId="40BC2BAF">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216D2BBF">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35DCB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7D09BC36">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唐义才</w:t>
            </w:r>
          </w:p>
        </w:tc>
        <w:tc>
          <w:tcPr>
            <w:tcW w:w="2255" w:type="pct"/>
            <w:vAlign w:val="center"/>
          </w:tcPr>
          <w:p w14:paraId="3959BFCB">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安徽古特生物科技有限公司</w:t>
            </w:r>
          </w:p>
        </w:tc>
        <w:tc>
          <w:tcPr>
            <w:tcW w:w="917" w:type="pct"/>
            <w:vAlign w:val="center"/>
          </w:tcPr>
          <w:p w14:paraId="5C12F5D3">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6DE97C62">
            <w:pPr>
              <w:autoSpaceDE w:val="0"/>
              <w:autoSpaceDN w:val="0"/>
              <w:adjustRightInd w:val="0"/>
              <w:spacing w:line="360" w:lineRule="auto"/>
              <w:jc w:val="center"/>
              <w:rPr>
                <w:rFonts w:hint="default"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15178631942</w:t>
            </w:r>
          </w:p>
        </w:tc>
      </w:tr>
      <w:tr w14:paraId="0790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680A3A7E">
            <w:pPr>
              <w:autoSpaceDE w:val="0"/>
              <w:autoSpaceDN w:val="0"/>
              <w:adjustRightInd w:val="0"/>
              <w:spacing w:line="360" w:lineRule="auto"/>
              <w:jc w:val="center"/>
              <w:rPr>
                <w:rFonts w:hint="default"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何志洋</w:t>
            </w:r>
          </w:p>
        </w:tc>
        <w:tc>
          <w:tcPr>
            <w:tcW w:w="2255" w:type="pct"/>
            <w:vAlign w:val="center"/>
          </w:tcPr>
          <w:p w14:paraId="27C1992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安徽凯格环保工程有限公司</w:t>
            </w:r>
          </w:p>
        </w:tc>
        <w:tc>
          <w:tcPr>
            <w:tcW w:w="917" w:type="pct"/>
            <w:vAlign w:val="center"/>
          </w:tcPr>
          <w:p w14:paraId="32D18E45">
            <w:pPr>
              <w:autoSpaceDE w:val="0"/>
              <w:autoSpaceDN w:val="0"/>
              <w:adjustRightInd w:val="0"/>
              <w:spacing w:line="360" w:lineRule="auto"/>
              <w:jc w:val="center"/>
              <w:rPr>
                <w:rFonts w:hint="eastAsia" w:eastAsiaTheme="minorEastAsia"/>
                <w:color w:val="auto"/>
                <w:kern w:val="0"/>
                <w:szCs w:val="21"/>
                <w:highlight w:val="white"/>
                <w:lang w:val="en-US" w:eastAsia="zh-CN"/>
              </w:rPr>
            </w:pPr>
            <w:r>
              <w:rPr>
                <w:rFonts w:hint="eastAsia" w:eastAsiaTheme="minorEastAsia"/>
                <w:color w:val="auto"/>
                <w:kern w:val="0"/>
                <w:szCs w:val="21"/>
                <w:highlight w:val="white"/>
                <w:lang w:val="en-US" w:eastAsia="zh-CN"/>
              </w:rPr>
              <w:t>组员</w:t>
            </w:r>
          </w:p>
        </w:tc>
        <w:tc>
          <w:tcPr>
            <w:tcW w:w="1165" w:type="pct"/>
            <w:vAlign w:val="center"/>
          </w:tcPr>
          <w:p w14:paraId="300148A8">
            <w:pPr>
              <w:autoSpaceDE w:val="0"/>
              <w:autoSpaceDN w:val="0"/>
              <w:adjustRightInd w:val="0"/>
              <w:spacing w:line="360" w:lineRule="auto"/>
              <w:jc w:val="center"/>
              <w:rPr>
                <w:rFonts w:hint="default" w:cs="Times New Roman"/>
                <w:i w:val="0"/>
                <w:iCs w:val="0"/>
                <w:color w:val="auto"/>
                <w:kern w:val="0"/>
                <w:sz w:val="21"/>
                <w:szCs w:val="21"/>
                <w:highlight w:val="none"/>
                <w:u w:val="none"/>
                <w:lang w:val="en-US" w:eastAsia="zh-CN" w:bidi="ar"/>
              </w:rPr>
            </w:pPr>
            <w:r>
              <w:rPr>
                <w:rFonts w:hint="eastAsia" w:cs="Times New Roman"/>
                <w:i w:val="0"/>
                <w:iCs w:val="0"/>
                <w:color w:val="auto"/>
                <w:kern w:val="0"/>
                <w:sz w:val="21"/>
                <w:szCs w:val="21"/>
                <w:highlight w:val="none"/>
                <w:u w:val="none"/>
                <w:lang w:val="en-US" w:eastAsia="zh-CN" w:bidi="ar"/>
              </w:rPr>
              <w:t>18712188285</w:t>
            </w:r>
          </w:p>
        </w:tc>
      </w:tr>
      <w:tr w14:paraId="5595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pct"/>
            <w:vAlign w:val="center"/>
          </w:tcPr>
          <w:p w14:paraId="06253BA4">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cs="Times New Roman" w:eastAsiaTheme="minorEastAsia"/>
                <w:color w:val="auto"/>
                <w:kern w:val="0"/>
                <w:sz w:val="21"/>
                <w:szCs w:val="21"/>
                <w:highlight w:val="white"/>
                <w:lang w:val="en-US" w:eastAsia="zh-CN" w:bidi="ar-SA"/>
              </w:rPr>
              <w:t>张露</w:t>
            </w:r>
          </w:p>
        </w:tc>
        <w:tc>
          <w:tcPr>
            <w:tcW w:w="2255" w:type="pct"/>
            <w:vAlign w:val="center"/>
          </w:tcPr>
          <w:p w14:paraId="7C6C7764">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安徽凯格环保工程有限公司</w:t>
            </w:r>
          </w:p>
        </w:tc>
        <w:tc>
          <w:tcPr>
            <w:tcW w:w="917" w:type="pct"/>
            <w:vAlign w:val="center"/>
          </w:tcPr>
          <w:p w14:paraId="5108EC66">
            <w:pPr>
              <w:autoSpaceDE w:val="0"/>
              <w:autoSpaceDN w:val="0"/>
              <w:adjustRightInd w:val="0"/>
              <w:spacing w:line="360" w:lineRule="auto"/>
              <w:jc w:val="center"/>
              <w:rPr>
                <w:rFonts w:hint="eastAsia" w:ascii="Times New Roman" w:hAnsi="Times New Roman" w:cs="Times New Roman" w:eastAsiaTheme="minorEastAsia"/>
                <w:color w:val="auto"/>
                <w:kern w:val="0"/>
                <w:sz w:val="21"/>
                <w:szCs w:val="21"/>
                <w:highlight w:val="white"/>
                <w:lang w:val="zh-CN" w:eastAsia="zh-CN" w:bidi="ar-SA"/>
              </w:rPr>
            </w:pPr>
            <w:r>
              <w:rPr>
                <w:rFonts w:hint="eastAsia" w:eastAsiaTheme="minorEastAsia"/>
                <w:color w:val="auto"/>
                <w:kern w:val="0"/>
                <w:szCs w:val="21"/>
                <w:highlight w:val="white"/>
                <w:lang w:val="zh-CN"/>
              </w:rPr>
              <w:t>组员</w:t>
            </w:r>
          </w:p>
        </w:tc>
        <w:tc>
          <w:tcPr>
            <w:tcW w:w="1165" w:type="pct"/>
            <w:vAlign w:val="center"/>
          </w:tcPr>
          <w:p w14:paraId="39F7A1EF">
            <w:pPr>
              <w:autoSpaceDE w:val="0"/>
              <w:autoSpaceDN w:val="0"/>
              <w:adjustRightInd w:val="0"/>
              <w:spacing w:line="360" w:lineRule="auto"/>
              <w:jc w:val="center"/>
              <w:rPr>
                <w:rFonts w:hint="default" w:ascii="Times New Roman" w:hAnsi="Times New Roman" w:cs="Times New Roman" w:eastAsiaTheme="minorEastAsia"/>
                <w:color w:val="auto"/>
                <w:kern w:val="0"/>
                <w:sz w:val="21"/>
                <w:szCs w:val="21"/>
                <w:highlight w:val="white"/>
                <w:lang w:val="en-US" w:eastAsia="zh-CN" w:bidi="ar-SA"/>
              </w:rPr>
            </w:pPr>
            <w:r>
              <w:rPr>
                <w:rFonts w:hint="eastAsia" w:eastAsiaTheme="minorEastAsia"/>
                <w:color w:val="auto"/>
                <w:kern w:val="0"/>
                <w:szCs w:val="21"/>
                <w:highlight w:val="white"/>
                <w:lang w:val="en-US" w:eastAsia="zh-CN"/>
              </w:rPr>
              <w:t>17356036717</w:t>
            </w:r>
          </w:p>
        </w:tc>
      </w:tr>
    </w:tbl>
    <w:p w14:paraId="7E4B2875">
      <w:pPr>
        <w:spacing w:line="360" w:lineRule="auto"/>
        <w:ind w:firstLine="480" w:firstLineChars="200"/>
        <w:jc w:val="right"/>
        <w:rPr>
          <w:rFonts w:eastAsiaTheme="minorEastAsia"/>
          <w:color w:val="auto"/>
          <w:sz w:val="24"/>
        </w:rPr>
      </w:pPr>
    </w:p>
    <w:p w14:paraId="2F757C28">
      <w:pPr>
        <w:pStyle w:val="7"/>
        <w:spacing w:before="0" w:line="360" w:lineRule="auto"/>
        <w:ind w:firstLine="480"/>
        <w:jc w:val="righ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安庆汇辰科技有限公司</w:t>
      </w:r>
    </w:p>
    <w:p w14:paraId="5A1FB932">
      <w:pPr>
        <w:pStyle w:val="7"/>
        <w:spacing w:before="0" w:line="360" w:lineRule="auto"/>
        <w:ind w:firstLine="480"/>
        <w:jc w:val="right"/>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202</w:t>
      </w:r>
      <w:r>
        <w:rPr>
          <w:rFonts w:hint="eastAsia" w:ascii="Times New Roman" w:hAnsi="Times New Roman" w:eastAsia="宋体" w:cs="Times New Roman"/>
          <w:sz w:val="24"/>
          <w:szCs w:val="24"/>
          <w:highlight w:val="none"/>
          <w:lang w:val="en-US" w:eastAsia="zh-CN"/>
        </w:rPr>
        <w:t>6</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 xml:space="preserve"> 5</w:t>
      </w:r>
      <w:r>
        <w:rPr>
          <w:rFonts w:hint="eastAsia" w:ascii="Times New Roman" w:hAnsi="Times New Roman" w:eastAsia="宋体" w:cs="Times New Roman"/>
          <w:sz w:val="24"/>
          <w:szCs w:val="24"/>
          <w:highlight w:val="none"/>
          <w:lang w:eastAsia="zh-CN"/>
        </w:rPr>
        <w:t xml:space="preserve">月 </w:t>
      </w:r>
      <w:r>
        <w:rPr>
          <w:rFonts w:hint="eastAsia" w:ascii="Times New Roman" w:hAnsi="Times New Roman" w:eastAsia="宋体" w:cs="Times New Roman"/>
          <w:sz w:val="24"/>
          <w:szCs w:val="24"/>
          <w:highlight w:val="none"/>
          <w:lang w:val="en-US" w:eastAsia="zh-CN"/>
        </w:rPr>
        <w:t>13</w:t>
      </w:r>
      <w:r>
        <w:rPr>
          <w:rFonts w:hint="eastAsia" w:ascii="Times New Roman" w:hAnsi="Times New Roman" w:eastAsia="宋体" w:cs="Times New Roman"/>
          <w:sz w:val="24"/>
          <w:szCs w:val="24"/>
          <w:highlight w:val="none"/>
          <w:lang w:eastAsia="zh-CN"/>
        </w:rPr>
        <w:t>日</w:t>
      </w:r>
    </w:p>
    <w:p w14:paraId="35499F7B">
      <w:pPr>
        <w:spacing w:line="360" w:lineRule="auto"/>
        <w:ind w:firstLine="480" w:firstLineChars="200"/>
        <w:rPr>
          <w:color w:val="auto"/>
          <w:sz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FF5D9">
    <w:pPr>
      <w:pStyle w:val="12"/>
      <w:widowControl/>
      <w:ind w:left="0" w:leftChars="0" w:right="360" w:firstLine="0" w:firstLineChars="0"/>
      <w:rPr>
        <w:rFonts w:hint="eastAsia" w:cs="Times New Roman"/>
        <w:kern w:val="0"/>
      </w:rPr>
    </w:pPr>
    <w:r>
      <w:rPr>
        <w:rFonts w:cs="Times New Roman"/>
        <w:kern w:val="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C9056D">
                          <w:pPr>
                            <w:pStyle w:val="12"/>
                            <w:widowControl/>
                            <w:ind w:firstLine="360"/>
                            <w:rPr>
                              <w:rFonts w:hint="eastAsia" w:cs="Times New Roman"/>
                              <w:kern w:val="0"/>
                            </w:rPr>
                          </w:pPr>
                          <w:r>
                            <w:rPr>
                              <w:rFonts w:hint="eastAsia" w:cs="Times New Roman"/>
                              <w:kern w:val="0"/>
                            </w:rPr>
                            <w:t xml:space="preserve">第 </w:t>
                          </w:r>
                          <w:r>
                            <w:rPr>
                              <w:rFonts w:hint="eastAsia" w:cs="Times New Roman"/>
                              <w:kern w:val="0"/>
                            </w:rPr>
                            <w:fldChar w:fldCharType="begin"/>
                          </w:r>
                          <w:r>
                            <w:rPr>
                              <w:rFonts w:hint="eastAsia" w:cs="Times New Roman"/>
                              <w:kern w:val="0"/>
                            </w:rPr>
                            <w:instrText xml:space="preserve"> PAGE  \* MERGEFORMAT </w:instrText>
                          </w:r>
                          <w:r>
                            <w:rPr>
                              <w:rFonts w:hint="eastAsia" w:cs="Times New Roman"/>
                              <w:kern w:val="0"/>
                            </w:rPr>
                            <w:fldChar w:fldCharType="separate"/>
                          </w:r>
                          <w:r>
                            <w:rPr>
                              <w:rFonts w:cs="Times New Roman"/>
                              <w:kern w:val="0"/>
                            </w:rPr>
                            <w:t>22</w:t>
                          </w:r>
                          <w:r>
                            <w:rPr>
                              <w:rFonts w:hint="eastAsia" w:cs="Times New Roman"/>
                              <w:kern w:val="0"/>
                            </w:rPr>
                            <w:fldChar w:fldCharType="end"/>
                          </w:r>
                          <w:r>
                            <w:rPr>
                              <w:rFonts w:hint="eastAsia" w:cs="Times New Roman"/>
                              <w:kern w:val="0"/>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9C9056D">
                    <w:pPr>
                      <w:pStyle w:val="12"/>
                      <w:widowControl/>
                      <w:ind w:firstLine="360"/>
                      <w:rPr>
                        <w:rFonts w:hint="eastAsia" w:cs="Times New Roman"/>
                        <w:kern w:val="0"/>
                      </w:rPr>
                    </w:pPr>
                    <w:r>
                      <w:rPr>
                        <w:rFonts w:hint="eastAsia" w:cs="Times New Roman"/>
                        <w:kern w:val="0"/>
                      </w:rPr>
                      <w:t xml:space="preserve">第 </w:t>
                    </w:r>
                    <w:r>
                      <w:rPr>
                        <w:rFonts w:hint="eastAsia" w:cs="Times New Roman"/>
                        <w:kern w:val="0"/>
                      </w:rPr>
                      <w:fldChar w:fldCharType="begin"/>
                    </w:r>
                    <w:r>
                      <w:rPr>
                        <w:rFonts w:hint="eastAsia" w:cs="Times New Roman"/>
                        <w:kern w:val="0"/>
                      </w:rPr>
                      <w:instrText xml:space="preserve"> PAGE  \* MERGEFORMAT </w:instrText>
                    </w:r>
                    <w:r>
                      <w:rPr>
                        <w:rFonts w:hint="eastAsia" w:cs="Times New Roman"/>
                        <w:kern w:val="0"/>
                      </w:rPr>
                      <w:fldChar w:fldCharType="separate"/>
                    </w:r>
                    <w:r>
                      <w:rPr>
                        <w:rFonts w:cs="Times New Roman"/>
                        <w:kern w:val="0"/>
                      </w:rPr>
                      <w:t>22</w:t>
                    </w:r>
                    <w:r>
                      <w:rPr>
                        <w:rFonts w:hint="eastAsia" w:cs="Times New Roman"/>
                        <w:kern w:val="0"/>
                      </w:rPr>
                      <w:fldChar w:fldCharType="end"/>
                    </w:r>
                    <w:r>
                      <w:rPr>
                        <w:rFonts w:hint="eastAsia" w:cs="Times New Roman"/>
                        <w:kern w:val="0"/>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9B205">
    <w:pPr>
      <w:pStyle w:val="13"/>
      <w:widowControl/>
      <w:ind w:firstLine="360"/>
      <w:rPr>
        <w:rFonts w:cs="Times New Roman"/>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0N2Y4Y2M3YzYzNmU4YzM5NWYwYTg5MTg2ZTc1NTgifQ=="/>
  </w:docVars>
  <w:rsids>
    <w:rsidRoot w:val="00172A27"/>
    <w:rsid w:val="000F6FAD"/>
    <w:rsid w:val="001644BC"/>
    <w:rsid w:val="00217F13"/>
    <w:rsid w:val="004C03EB"/>
    <w:rsid w:val="005167D0"/>
    <w:rsid w:val="005724BA"/>
    <w:rsid w:val="005D438A"/>
    <w:rsid w:val="006659E9"/>
    <w:rsid w:val="007B5BCA"/>
    <w:rsid w:val="008700BA"/>
    <w:rsid w:val="008A2F26"/>
    <w:rsid w:val="0094161E"/>
    <w:rsid w:val="00A82FE9"/>
    <w:rsid w:val="00B33FF1"/>
    <w:rsid w:val="00C01108"/>
    <w:rsid w:val="00D01294"/>
    <w:rsid w:val="00DD6AB2"/>
    <w:rsid w:val="00EE641B"/>
    <w:rsid w:val="00F62BA9"/>
    <w:rsid w:val="01541EA9"/>
    <w:rsid w:val="018C33F1"/>
    <w:rsid w:val="0358310C"/>
    <w:rsid w:val="03764359"/>
    <w:rsid w:val="03DE1080"/>
    <w:rsid w:val="04A6181A"/>
    <w:rsid w:val="075A7AEE"/>
    <w:rsid w:val="08F560BD"/>
    <w:rsid w:val="09470BF0"/>
    <w:rsid w:val="0C346B5F"/>
    <w:rsid w:val="0C3D1EB8"/>
    <w:rsid w:val="0C931AD8"/>
    <w:rsid w:val="0CA02447"/>
    <w:rsid w:val="0EE730D9"/>
    <w:rsid w:val="0EF44384"/>
    <w:rsid w:val="0FB6788B"/>
    <w:rsid w:val="1211524D"/>
    <w:rsid w:val="130B7EEE"/>
    <w:rsid w:val="14065285"/>
    <w:rsid w:val="14524026"/>
    <w:rsid w:val="14C33176"/>
    <w:rsid w:val="14DC1B42"/>
    <w:rsid w:val="15604521"/>
    <w:rsid w:val="156C2EC6"/>
    <w:rsid w:val="15E2587E"/>
    <w:rsid w:val="15E85704"/>
    <w:rsid w:val="161D197D"/>
    <w:rsid w:val="16FC296F"/>
    <w:rsid w:val="18C15C1F"/>
    <w:rsid w:val="1A78230D"/>
    <w:rsid w:val="1CFE1784"/>
    <w:rsid w:val="1D306ECF"/>
    <w:rsid w:val="1D416BD4"/>
    <w:rsid w:val="1DDF4451"/>
    <w:rsid w:val="1F1B731A"/>
    <w:rsid w:val="23696C97"/>
    <w:rsid w:val="2372058B"/>
    <w:rsid w:val="23A221A9"/>
    <w:rsid w:val="23C5173D"/>
    <w:rsid w:val="244B45EE"/>
    <w:rsid w:val="24A81A41"/>
    <w:rsid w:val="282472DA"/>
    <w:rsid w:val="2A2658E2"/>
    <w:rsid w:val="2AD57308"/>
    <w:rsid w:val="2ADB491E"/>
    <w:rsid w:val="2B91322F"/>
    <w:rsid w:val="2C732934"/>
    <w:rsid w:val="2C923702"/>
    <w:rsid w:val="2CFC5020"/>
    <w:rsid w:val="2F6A6270"/>
    <w:rsid w:val="2FE14059"/>
    <w:rsid w:val="30B005FB"/>
    <w:rsid w:val="318C5234"/>
    <w:rsid w:val="32193F7E"/>
    <w:rsid w:val="323B0398"/>
    <w:rsid w:val="33294694"/>
    <w:rsid w:val="33743B62"/>
    <w:rsid w:val="33C70135"/>
    <w:rsid w:val="344D3AEC"/>
    <w:rsid w:val="346E0535"/>
    <w:rsid w:val="347F27BE"/>
    <w:rsid w:val="35D501BC"/>
    <w:rsid w:val="35F74D30"/>
    <w:rsid w:val="367C4B66"/>
    <w:rsid w:val="386E6C71"/>
    <w:rsid w:val="39B822CE"/>
    <w:rsid w:val="3A4A0CF0"/>
    <w:rsid w:val="3B5B1DC5"/>
    <w:rsid w:val="3DBD29D4"/>
    <w:rsid w:val="3F2A5A1C"/>
    <w:rsid w:val="3FB11845"/>
    <w:rsid w:val="41395AA3"/>
    <w:rsid w:val="425F3C2F"/>
    <w:rsid w:val="442B59E3"/>
    <w:rsid w:val="44367A37"/>
    <w:rsid w:val="46EE10DD"/>
    <w:rsid w:val="49362EA4"/>
    <w:rsid w:val="49746212"/>
    <w:rsid w:val="4ADF590D"/>
    <w:rsid w:val="4E616639"/>
    <w:rsid w:val="4F1F45F5"/>
    <w:rsid w:val="52ED2B91"/>
    <w:rsid w:val="530F0D59"/>
    <w:rsid w:val="53463E0B"/>
    <w:rsid w:val="54C87412"/>
    <w:rsid w:val="56D773BB"/>
    <w:rsid w:val="56F269C8"/>
    <w:rsid w:val="57511940"/>
    <w:rsid w:val="57AE0B41"/>
    <w:rsid w:val="5A166E71"/>
    <w:rsid w:val="5A7A7400"/>
    <w:rsid w:val="5C7D6D34"/>
    <w:rsid w:val="5D9205BD"/>
    <w:rsid w:val="5D9E3405"/>
    <w:rsid w:val="5F041285"/>
    <w:rsid w:val="5F6B3399"/>
    <w:rsid w:val="61447BB9"/>
    <w:rsid w:val="62775FD3"/>
    <w:rsid w:val="63AB23D8"/>
    <w:rsid w:val="64011E50"/>
    <w:rsid w:val="65F8742B"/>
    <w:rsid w:val="664F7993"/>
    <w:rsid w:val="665054B9"/>
    <w:rsid w:val="66F45E44"/>
    <w:rsid w:val="69146C72"/>
    <w:rsid w:val="69B12712"/>
    <w:rsid w:val="6A097E59"/>
    <w:rsid w:val="6AEA5EDC"/>
    <w:rsid w:val="6B204148"/>
    <w:rsid w:val="6B293A28"/>
    <w:rsid w:val="6B8E2D0B"/>
    <w:rsid w:val="6BF81E3B"/>
    <w:rsid w:val="6E0472B5"/>
    <w:rsid w:val="6F0230C8"/>
    <w:rsid w:val="6F35524C"/>
    <w:rsid w:val="6F4162E7"/>
    <w:rsid w:val="709541F4"/>
    <w:rsid w:val="713113D9"/>
    <w:rsid w:val="723839D1"/>
    <w:rsid w:val="73397D6D"/>
    <w:rsid w:val="7346211D"/>
    <w:rsid w:val="74710D50"/>
    <w:rsid w:val="75D02172"/>
    <w:rsid w:val="76946CFC"/>
    <w:rsid w:val="76B4114C"/>
    <w:rsid w:val="77EC1AA6"/>
    <w:rsid w:val="78F47F26"/>
    <w:rsid w:val="7ABE2599"/>
    <w:rsid w:val="7BF1074D"/>
    <w:rsid w:val="7BF70459"/>
    <w:rsid w:val="7C2E374F"/>
    <w:rsid w:val="7C5E7F62"/>
    <w:rsid w:val="7CCD2F68"/>
    <w:rsid w:val="7D1E37C3"/>
    <w:rsid w:val="7EE756FA"/>
    <w:rsid w:val="7FB1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50" w:beforeLines="50" w:after="50" w:afterLines="50" w:line="360" w:lineRule="auto"/>
      <w:jc w:val="center"/>
      <w:outlineLvl w:val="0"/>
    </w:pPr>
    <w:rPr>
      <w:rFonts w:cs="Arial"/>
      <w:b/>
      <w:kern w:val="44"/>
      <w:sz w:val="32"/>
      <w:szCs w:val="22"/>
    </w:rPr>
  </w:style>
  <w:style w:type="paragraph" w:styleId="4">
    <w:name w:val="heading 2"/>
    <w:basedOn w:val="1"/>
    <w:next w:val="1"/>
    <w:link w:val="24"/>
    <w:semiHidden/>
    <w:unhideWhenUsed/>
    <w:qFormat/>
    <w:uiPriority w:val="0"/>
    <w:pPr>
      <w:keepNext/>
      <w:keepLines/>
      <w:spacing w:before="50" w:beforeLines="50" w:after="50" w:afterLines="50" w:line="360" w:lineRule="auto"/>
      <w:outlineLvl w:val="1"/>
    </w:pPr>
    <w:rPr>
      <w:rFonts w:eastAsiaTheme="minorEastAsia"/>
      <w:b/>
      <w:bCs/>
      <w:sz w:val="28"/>
      <w:szCs w:val="32"/>
    </w:rPr>
  </w:style>
  <w:style w:type="paragraph" w:styleId="5">
    <w:name w:val="heading 3"/>
    <w:basedOn w:val="1"/>
    <w:next w:val="1"/>
    <w:semiHidden/>
    <w:unhideWhenUsed/>
    <w:qFormat/>
    <w:uiPriority w:val="0"/>
    <w:pPr>
      <w:keepNext/>
      <w:keepLines/>
      <w:spacing w:before="20" w:after="20" w:line="360" w:lineRule="auto"/>
      <w:outlineLvl w:val="2"/>
    </w:pPr>
    <w:rPr>
      <w:rFonts w:cs="Arial"/>
      <w:b/>
      <w:sz w:val="28"/>
      <w:szCs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6"/>
    <w:qFormat/>
    <w:uiPriority w:val="0"/>
    <w:pPr>
      <w:spacing w:after="120"/>
    </w:pPr>
  </w:style>
  <w:style w:type="paragraph" w:styleId="6">
    <w:name w:val="Normal Indent"/>
    <w:basedOn w:val="1"/>
    <w:next w:val="7"/>
    <w:qFormat/>
    <w:uiPriority w:val="0"/>
    <w:pPr>
      <w:widowControl/>
      <w:adjustRightInd w:val="0"/>
      <w:snapToGrid w:val="0"/>
      <w:spacing w:after="200"/>
      <w:ind w:firstLine="652"/>
      <w:jc w:val="left"/>
    </w:pPr>
    <w:rPr>
      <w:rFonts w:ascii="Tahoma" w:hAnsi="Tahoma" w:eastAsia="微软雅黑"/>
      <w:kern w:val="0"/>
      <w:sz w:val="22"/>
      <w:szCs w:val="22"/>
    </w:rPr>
  </w:style>
  <w:style w:type="paragraph" w:styleId="7">
    <w:name w:val="Body Text First Indent 2"/>
    <w:basedOn w:val="1"/>
    <w:next w:val="1"/>
    <w:unhideWhenUsed/>
    <w:qFormat/>
    <w:uiPriority w:val="99"/>
    <w:pPr>
      <w:ind w:firstLine="420" w:firstLineChars="200"/>
    </w:pPr>
  </w:style>
  <w:style w:type="paragraph" w:styleId="8">
    <w:name w:val="annotation text"/>
    <w:basedOn w:val="1"/>
    <w:qFormat/>
    <w:uiPriority w:val="0"/>
    <w:pPr>
      <w:jc w:val="left"/>
    </w:pPr>
  </w:style>
  <w:style w:type="paragraph" w:styleId="9">
    <w:name w:val="Body Text Indent"/>
    <w:basedOn w:val="1"/>
    <w:next w:val="10"/>
    <w:unhideWhenUsed/>
    <w:qFormat/>
    <w:uiPriority w:val="99"/>
    <w:pPr>
      <w:spacing w:before="120" w:line="360" w:lineRule="atLeast"/>
      <w:ind w:firstLine="539"/>
    </w:pPr>
    <w:rPr>
      <w:sz w:val="24"/>
    </w:rPr>
  </w:style>
  <w:style w:type="paragraph" w:styleId="10">
    <w:name w:val="envelope return"/>
    <w:basedOn w:val="1"/>
    <w:unhideWhenUsed/>
    <w:qFormat/>
    <w:uiPriority w:val="99"/>
    <w:pPr>
      <w:snapToGrid w:val="0"/>
      <w:ind w:firstLine="723"/>
      <w:jc w:val="left"/>
    </w:pPr>
    <w:rPr>
      <w:rFonts w:ascii="Arial" w:hAnsi="Arial" w:cs="宋体"/>
    </w:rPr>
  </w:style>
  <w:style w:type="paragraph" w:styleId="11">
    <w:name w:val="Plain Text"/>
    <w:basedOn w:val="1"/>
    <w:qFormat/>
    <w:uiPriority w:val="0"/>
    <w:rPr>
      <w:rFonts w:ascii="宋体" w:hAnsi="Courier New"/>
    </w:rPr>
  </w:style>
  <w:style w:type="paragraph" w:styleId="12">
    <w:name w:val="footer"/>
    <w:qFormat/>
    <w:uiPriority w:val="0"/>
    <w:pPr>
      <w:tabs>
        <w:tab w:val="center" w:pos="4153"/>
        <w:tab w:val="right" w:pos="8306"/>
      </w:tabs>
      <w:adjustRightInd w:val="0"/>
      <w:snapToGrid w:val="0"/>
      <w:spacing w:line="360" w:lineRule="auto"/>
      <w:ind w:firstLine="560" w:firstLineChars="200"/>
      <w:jc w:val="both"/>
    </w:pPr>
    <w:rPr>
      <w:rFonts w:ascii="Tahoma" w:hAnsi="Tahoma" w:eastAsia="宋体" w:cs="Times New Roman"/>
      <w:sz w:val="18"/>
      <w:szCs w:val="18"/>
      <w:lang w:val="en-US" w:eastAsia="zh-CN" w:bidi="ar-SA"/>
    </w:rPr>
  </w:style>
  <w:style w:type="paragraph" w:styleId="13">
    <w:name w:val="header"/>
    <w:qFormat/>
    <w:uiPriority w:val="0"/>
    <w:pPr>
      <w:pBdr>
        <w:top w:val="none" w:color="auto" w:sz="0" w:space="1"/>
        <w:left w:val="none" w:color="auto" w:sz="0" w:space="4"/>
        <w:bottom w:val="none" w:color="auto" w:sz="0" w:space="1"/>
        <w:right w:val="none" w:color="auto" w:sz="0" w:space="4"/>
      </w:pBdr>
      <w:tabs>
        <w:tab w:val="center" w:pos="4153"/>
        <w:tab w:val="right" w:pos="8306"/>
      </w:tabs>
      <w:adjustRightInd w:val="0"/>
      <w:snapToGrid w:val="0"/>
      <w:spacing w:line="240" w:lineRule="auto"/>
      <w:ind w:firstLine="560" w:firstLineChars="200"/>
      <w:jc w:val="both"/>
      <w:outlineLvl w:val="9"/>
    </w:pPr>
    <w:rPr>
      <w:rFonts w:ascii="Times New Roman" w:hAnsi="Times New Roman" w:eastAsia="宋体" w:cs="Times New Roman"/>
      <w:sz w:val="18"/>
      <w:szCs w:val="24"/>
      <w:lang w:val="en-US" w:eastAsia="zh-CN" w:bidi="ar-SA"/>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表头"/>
    <w:basedOn w:val="18"/>
    <w:next w:val="1"/>
    <w:qFormat/>
    <w:uiPriority w:val="0"/>
    <w:pPr>
      <w:spacing w:before="50" w:beforeLines="50" w:after="50" w:afterLines="50" w:line="360" w:lineRule="auto"/>
      <w:jc w:val="center"/>
    </w:pPr>
    <w:rPr>
      <w:rFonts w:ascii="Times New Roman" w:hAnsi="Times New Roman" w:cs="Arial"/>
      <w:szCs w:val="22"/>
    </w:rPr>
  </w:style>
  <w:style w:type="paragraph" w:customStyle="1" w:styleId="18">
    <w:name w:val="文本"/>
    <w:basedOn w:val="1"/>
    <w:next w:val="1"/>
    <w:autoRedefine/>
    <w:qFormat/>
    <w:uiPriority w:val="99"/>
    <w:pPr>
      <w:widowControl/>
      <w:spacing w:line="440" w:lineRule="exact"/>
      <w:ind w:firstLine="0" w:firstLineChars="0"/>
      <w:jc w:val="left"/>
    </w:pPr>
    <w:rPr>
      <w:rFonts w:ascii="Calibri" w:hAnsi="Calibri"/>
      <w:sz w:val="21"/>
    </w:rPr>
  </w:style>
  <w:style w:type="paragraph" w:customStyle="1" w:styleId="19">
    <w:name w:val="表格"/>
    <w:basedOn w:val="17"/>
    <w:qFormat/>
    <w:uiPriority w:val="0"/>
    <w:pPr>
      <w:adjustRightInd w:val="0"/>
      <w:snapToGrid w:val="0"/>
      <w:spacing w:line="240" w:lineRule="auto"/>
      <w:ind w:firstLine="0" w:firstLineChars="0"/>
      <w:jc w:val="center"/>
    </w:pPr>
    <w:rPr>
      <w:rFonts w:ascii="Times New Roman" w:hAnsi="Times New Roman" w:eastAsia="宋体" w:cs="Times New Roman"/>
      <w:sz w:val="21"/>
      <w:szCs w:val="20"/>
    </w:rPr>
  </w:style>
  <w:style w:type="paragraph" w:customStyle="1" w:styleId="20">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customStyle="1" w:styleId="21">
    <w:name w:val="正文-Walker"/>
    <w:basedOn w:val="1"/>
    <w:qFormat/>
    <w:uiPriority w:val="0"/>
    <w:rPr>
      <w:rFonts w:cs="宋体"/>
      <w:sz w:val="24"/>
      <w:szCs w:val="22"/>
    </w:rPr>
  </w:style>
  <w:style w:type="paragraph" w:customStyle="1" w:styleId="22">
    <w:name w:val="表中字体-Walker"/>
    <w:basedOn w:val="1"/>
    <w:qFormat/>
    <w:uiPriority w:val="0"/>
    <w:rPr>
      <w:rFonts w:cs="Arial"/>
      <w:szCs w:val="22"/>
    </w:rPr>
  </w:style>
  <w:style w:type="paragraph" w:customStyle="1" w:styleId="23">
    <w:name w:val="表头-Walker"/>
    <w:basedOn w:val="11"/>
    <w:qFormat/>
    <w:uiPriority w:val="0"/>
    <w:pPr>
      <w:spacing w:before="50" w:beforeLines="50" w:after="50" w:afterLines="50" w:line="360" w:lineRule="auto"/>
      <w:jc w:val="center"/>
    </w:pPr>
    <w:rPr>
      <w:rFonts w:ascii="Times New Roman" w:hAnsi="Times New Roman" w:cs="Arial"/>
      <w:b/>
      <w:szCs w:val="22"/>
    </w:rPr>
  </w:style>
  <w:style w:type="character" w:customStyle="1" w:styleId="24">
    <w:name w:val="标题 2 字符"/>
    <w:link w:val="4"/>
    <w:qFormat/>
    <w:uiPriority w:val="0"/>
    <w:rPr>
      <w:rFonts w:ascii="Times New Roman" w:hAnsi="Times New Roman" w:eastAsiaTheme="minorEastAsia"/>
      <w:b/>
      <w:bCs/>
      <w:sz w:val="28"/>
      <w:szCs w:val="32"/>
    </w:rPr>
  </w:style>
  <w:style w:type="paragraph" w:customStyle="1" w:styleId="25">
    <w:name w:val="普通(网站)1"/>
    <w:basedOn w:val="1"/>
    <w:qFormat/>
    <w:uiPriority w:val="0"/>
    <w:pPr>
      <w:spacing w:before="100" w:beforeAutospacing="1" w:after="100" w:afterAutospacing="1"/>
    </w:pPr>
    <w:rPr>
      <w:rFonts w:ascii="宋体" w:hAnsi="宋体" w:cs="宋体"/>
      <w:sz w:val="24"/>
    </w:rPr>
  </w:style>
  <w:style w:type="character" w:customStyle="1" w:styleId="26">
    <w:name w:val="正文文本 字符"/>
    <w:basedOn w:val="16"/>
    <w:link w:val="2"/>
    <w:qFormat/>
    <w:uiPriority w:val="0"/>
    <w:rPr>
      <w:rFonts w:ascii="Times New Roman" w:hAnsi="Times New Roman"/>
      <w:kern w:val="2"/>
      <w:sz w:val="21"/>
      <w:szCs w:val="24"/>
    </w:rPr>
  </w:style>
  <w:style w:type="paragraph" w:customStyle="1" w:styleId="2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8">
    <w:name w:val="图表标题"/>
    <w:basedOn w:val="1"/>
    <w:qFormat/>
    <w:uiPriority w:val="0"/>
    <w:pPr>
      <w:ind w:firstLine="0" w:firstLineChars="0"/>
      <w:jc w:val="center"/>
    </w:pPr>
    <w:rPr>
      <w:rFonts w:eastAsia="Times New Roman"/>
      <w:b/>
    </w:rPr>
  </w:style>
  <w:style w:type="paragraph" w:customStyle="1" w:styleId="29">
    <w:name w:val="wg"/>
    <w:basedOn w:val="1"/>
    <w:qFormat/>
    <w:uiPriority w:val="0"/>
    <w:rPr>
      <w:sz w:val="28"/>
    </w:rPr>
  </w:style>
  <w:style w:type="paragraph" w:customStyle="1" w:styleId="30">
    <w:name w:val="A标准格式"/>
    <w:basedOn w:val="1"/>
    <w:qFormat/>
    <w:uiPriority w:val="0"/>
    <w:pPr>
      <w:spacing w:line="440" w:lineRule="exact"/>
      <w:ind w:firstLine="480" w:firstLineChars="200"/>
    </w:pPr>
    <w:rPr>
      <w:rFonts w:eastAsia="宋体"/>
      <w:sz w:val="24"/>
      <w:szCs w:val="24"/>
    </w:rPr>
  </w:style>
  <w:style w:type="paragraph" w:customStyle="1" w:styleId="31">
    <w:name w:val="表格内容自定"/>
    <w:basedOn w:val="1"/>
    <w:qFormat/>
    <w:uiPriority w:val="0"/>
    <w:pPr>
      <w:spacing w:line="280" w:lineRule="exact"/>
      <w:jc w:val="center"/>
    </w:pPr>
    <w:rPr>
      <w:kern w:val="0"/>
      <w:sz w:val="18"/>
      <w:szCs w:val="20"/>
    </w:rPr>
  </w:style>
  <w:style w:type="paragraph" w:customStyle="1" w:styleId="32">
    <w:name w:val="新格式表"/>
    <w:basedOn w:val="1"/>
    <w:autoRedefine/>
    <w:qFormat/>
    <w:uiPriority w:val="0"/>
    <w:pPr>
      <w:spacing w:line="440" w:lineRule="exact"/>
      <w:jc w:val="center"/>
    </w:pPr>
    <w:rPr>
      <w:rFonts w:ascii="Times New Roman" w:hAnsi="Times New Roman" w:eastAsia="宋体" w:cs="Times New Roman"/>
      <w:snapToGrid w:val="0"/>
      <w:color w:val="FF0000"/>
      <w:szCs w:val="21"/>
    </w:rPr>
  </w:style>
  <w:style w:type="paragraph" w:customStyle="1" w:styleId="33">
    <w:name w:val="表格正文"/>
    <w:qFormat/>
    <w:uiPriority w:val="0"/>
    <w:pPr>
      <w:autoSpaceDE w:val="0"/>
      <w:autoSpaceDN w:val="0"/>
      <w:adjustRightInd w:val="0"/>
      <w:snapToGrid w:val="0"/>
      <w:spacing w:line="240" w:lineRule="auto"/>
      <w:ind w:firstLine="0" w:firstLineChars="0"/>
      <w:jc w:val="center"/>
      <w:textAlignment w:val="bottom"/>
    </w:pPr>
    <w:rPr>
      <w:rFonts w:ascii="Times New Roman"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4377</Words>
  <Characters>5045</Characters>
  <Lines>16</Lines>
  <Paragraphs>4</Paragraphs>
  <TotalTime>0</TotalTime>
  <ScaleCrop>false</ScaleCrop>
  <LinksUpToDate>false</LinksUpToDate>
  <CharactersWithSpaces>5055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2021-07-10T03:11:00Z</dcterms:created>
  <dc:creator>Walker</dc:creator>
  <cp:lastModifiedBy>lucy</cp:lastModifiedBy>
  <cp:lastPrinted>2020-11-11T00:40:00Z</cp:lastPrinted>
  <dcterms:modified xsi:type="dcterms:W3CDTF">2026-06-18T02:59:01Z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0A7E81F9C68E49139712B16C0AAC6B9B</vt:lpwstr>
  </property>
  <property fmtid="{D5CDD505-2E9C-101B-9397-08002B2CF9AE}" pid="4" name="KSOTemplateDocerSaveRecord">
    <vt:lpwstr>eyJoZGlkIjoiMjc5MzBjMzRhZmY4ZjBiNTUwOGE3MTIwOGM3NTk1MWQiLCJ1c2VySWQiOiIyNjU5NjEyMSJ9</vt:lpwstr>
  </property>
</Properties>
</file>