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1A4127">
      <w:pPr>
        <w:keepNext w:val="0"/>
        <w:keepLines w:val="0"/>
        <w:pageBreakBefore w:val="0"/>
        <w:kinsoku/>
        <w:wordWrap/>
        <w:overflowPunct/>
        <w:topLinePunct w:val="0"/>
        <w:autoSpaceDE/>
        <w:autoSpaceDN/>
        <w:bidi w:val="0"/>
        <w:spacing w:line="360" w:lineRule="auto"/>
        <w:ind w:firstLine="0" w:firstLineChars="0"/>
        <w:jc w:val="center"/>
        <w:textAlignment w:val="auto"/>
        <w:rPr>
          <w:rFonts w:ascii="仿宋_GB2312" w:eastAsia="仿宋_GB2312"/>
          <w:color w:val="000000" w:themeColor="text1"/>
          <w:sz w:val="44"/>
          <w:szCs w:val="44"/>
          <w14:textFill>
            <w14:solidFill>
              <w14:schemeClr w14:val="tx1"/>
            </w14:solidFill>
          </w14:textFill>
        </w:rPr>
      </w:pPr>
    </w:p>
    <w:p w14:paraId="3B2AAEC3">
      <w:pPr>
        <w:keepNext w:val="0"/>
        <w:keepLines w:val="0"/>
        <w:pageBreakBefore w:val="0"/>
        <w:kinsoku/>
        <w:wordWrap/>
        <w:overflowPunct/>
        <w:topLinePunct w:val="0"/>
        <w:autoSpaceDE/>
        <w:autoSpaceDN/>
        <w:bidi w:val="0"/>
        <w:spacing w:line="360" w:lineRule="auto"/>
        <w:ind w:firstLine="0" w:firstLineChars="0"/>
        <w:jc w:val="center"/>
        <w:textAlignment w:val="auto"/>
        <w:rPr>
          <w:rFonts w:ascii="仿宋_GB2312" w:eastAsia="仿宋_GB2312"/>
          <w:color w:val="000000" w:themeColor="text1"/>
          <w:sz w:val="44"/>
          <w:szCs w:val="44"/>
          <w14:textFill>
            <w14:solidFill>
              <w14:schemeClr w14:val="tx1"/>
            </w14:solidFill>
          </w14:textFill>
        </w:rPr>
      </w:pPr>
    </w:p>
    <w:p w14:paraId="08C72FAF">
      <w:pPr>
        <w:keepNext w:val="0"/>
        <w:keepLines w:val="0"/>
        <w:pageBreakBefore w:val="0"/>
        <w:widowControl/>
        <w:kinsoku/>
        <w:wordWrap/>
        <w:overflowPunct/>
        <w:topLinePunct w:val="0"/>
        <w:autoSpaceDE/>
        <w:autoSpaceDN/>
        <w:bidi w:val="0"/>
        <w:adjustRightInd w:val="0"/>
        <w:snapToGrid w:val="0"/>
        <w:spacing w:after="200" w:line="360" w:lineRule="auto"/>
        <w:ind w:firstLine="0" w:firstLineChars="0"/>
        <w:jc w:val="center"/>
        <w:textAlignment w:val="auto"/>
        <w:rPr>
          <w:rFonts w:cs="Times New Roman" w:asciiTheme="majorEastAsia" w:hAnsiTheme="majorEastAsia" w:eastAsiaTheme="majorEastAsia"/>
          <w:b/>
          <w:color w:val="000000" w:themeColor="text1"/>
          <w:kern w:val="0"/>
          <w:sz w:val="44"/>
          <w:szCs w:val="44"/>
          <w14:textFill>
            <w14:solidFill>
              <w14:schemeClr w14:val="tx1"/>
            </w14:solidFill>
          </w14:textFill>
        </w:rPr>
      </w:pPr>
      <w:r>
        <w:rPr>
          <w:rFonts w:hint="eastAsia" w:cs="Times New Roman" w:asciiTheme="majorEastAsia" w:hAnsiTheme="majorEastAsia" w:eastAsiaTheme="majorEastAsia"/>
          <w:b/>
          <w:color w:val="000000" w:themeColor="text1"/>
          <w:kern w:val="0"/>
          <w:sz w:val="44"/>
          <w:szCs w:val="44"/>
          <w14:textFill>
            <w14:solidFill>
              <w14:schemeClr w14:val="tx1"/>
            </w14:solidFill>
          </w14:textFill>
        </w:rPr>
        <w:t>安庆帝伯格茨活塞环有限公司</w:t>
      </w:r>
    </w:p>
    <w:p w14:paraId="09267B80">
      <w:pPr>
        <w:keepNext w:val="0"/>
        <w:keepLines w:val="0"/>
        <w:pageBreakBefore w:val="0"/>
        <w:widowControl/>
        <w:kinsoku/>
        <w:wordWrap/>
        <w:overflowPunct/>
        <w:topLinePunct w:val="0"/>
        <w:autoSpaceDE/>
        <w:autoSpaceDN/>
        <w:bidi w:val="0"/>
        <w:adjustRightInd w:val="0"/>
        <w:snapToGrid w:val="0"/>
        <w:spacing w:after="200" w:line="360" w:lineRule="auto"/>
        <w:ind w:firstLine="0" w:firstLineChars="0"/>
        <w:jc w:val="center"/>
        <w:textAlignment w:val="auto"/>
        <w:rPr>
          <w:rFonts w:cs="Times New Roman" w:asciiTheme="majorEastAsia" w:hAnsiTheme="majorEastAsia" w:eastAsiaTheme="majorEastAsia"/>
          <w:b/>
          <w:color w:val="000000" w:themeColor="text1"/>
          <w:kern w:val="0"/>
          <w:sz w:val="44"/>
          <w:szCs w:val="44"/>
          <w14:textFill>
            <w14:solidFill>
              <w14:schemeClr w14:val="tx1"/>
            </w14:solidFill>
          </w14:textFill>
        </w:rPr>
      </w:pPr>
      <w:r>
        <w:rPr>
          <w:rFonts w:hint="eastAsia" w:cs="Times New Roman" w:asciiTheme="majorEastAsia" w:hAnsiTheme="majorEastAsia" w:eastAsiaTheme="majorEastAsia"/>
          <w:b/>
          <w:color w:val="000000" w:themeColor="text1"/>
          <w:kern w:val="0"/>
          <w:sz w:val="44"/>
          <w:szCs w:val="44"/>
          <w14:textFill>
            <w14:solidFill>
              <w14:schemeClr w14:val="tx1"/>
            </w14:solidFill>
          </w14:textFill>
        </w:rPr>
        <w:t>端面密封件生产线提升与智能化改造项目</w:t>
      </w:r>
    </w:p>
    <w:p w14:paraId="094D4362">
      <w:pPr>
        <w:keepNext w:val="0"/>
        <w:keepLines w:val="0"/>
        <w:pageBreakBefore w:val="0"/>
        <w:widowControl/>
        <w:kinsoku/>
        <w:wordWrap/>
        <w:overflowPunct/>
        <w:topLinePunct w:val="0"/>
        <w:autoSpaceDE/>
        <w:autoSpaceDN/>
        <w:bidi w:val="0"/>
        <w:adjustRightInd w:val="0"/>
        <w:snapToGrid w:val="0"/>
        <w:spacing w:after="200" w:line="360" w:lineRule="auto"/>
        <w:ind w:firstLine="0" w:firstLineChars="0"/>
        <w:jc w:val="center"/>
        <w:textAlignment w:val="auto"/>
        <w:rPr>
          <w:rFonts w:cs="Times New Roman" w:asciiTheme="majorEastAsia" w:hAnsiTheme="majorEastAsia" w:eastAsiaTheme="majorEastAsia"/>
          <w:b/>
          <w:color w:val="000000" w:themeColor="text1"/>
          <w:kern w:val="0"/>
          <w:sz w:val="44"/>
          <w:szCs w:val="44"/>
          <w14:textFill>
            <w14:solidFill>
              <w14:schemeClr w14:val="tx1"/>
            </w14:solidFill>
          </w14:textFill>
        </w:rPr>
      </w:pPr>
      <w:r>
        <w:rPr>
          <w:rFonts w:hint="eastAsia" w:cs="Times New Roman" w:asciiTheme="majorEastAsia" w:hAnsiTheme="majorEastAsia" w:eastAsiaTheme="majorEastAsia"/>
          <w:b/>
          <w:color w:val="000000" w:themeColor="text1"/>
          <w:kern w:val="0"/>
          <w:sz w:val="44"/>
          <w:szCs w:val="44"/>
          <w14:textFill>
            <w14:solidFill>
              <w14:schemeClr w14:val="tx1"/>
            </w14:solidFill>
          </w14:textFill>
        </w:rPr>
        <w:t>竣工环境保护验收监测报告表</w:t>
      </w:r>
    </w:p>
    <w:p w14:paraId="4F0C1FFB">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1C3C4FBF">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3C51D14F">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1017C6EF">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3790DC73">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4A9AED11">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3158C11C">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5398E749">
      <w:pPr>
        <w:pStyle w:val="10"/>
        <w:rPr>
          <w:rFonts w:hint="eastAsia" w:eastAsia="仿宋_GB2312"/>
          <w:lang w:val="en-US" w:eastAsia="zh-CN"/>
        </w:rPr>
      </w:pPr>
    </w:p>
    <w:p w14:paraId="507A47B0">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0E911E18">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153DE496">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787FCD52">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0732D402">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242D0ABA">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2D1E9012">
      <w:pPr>
        <w:keepNext w:val="0"/>
        <w:keepLines w:val="0"/>
        <w:pageBreakBefore w:val="0"/>
        <w:kinsoku/>
        <w:wordWrap/>
        <w:overflowPunct/>
        <w:topLinePunct w:val="0"/>
        <w:autoSpaceDE/>
        <w:autoSpaceDN/>
        <w:bidi w:val="0"/>
        <w:ind w:firstLine="0" w:firstLineChars="0"/>
        <w:textAlignment w:val="auto"/>
        <w:rPr>
          <w:rFonts w:ascii="华文新魏" w:eastAsia="华文新魏"/>
          <w:color w:val="000000" w:themeColor="text1"/>
          <w:sz w:val="24"/>
          <w:szCs w:val="24"/>
          <w14:textFill>
            <w14:solidFill>
              <w14:schemeClr w14:val="tx1"/>
            </w14:solidFill>
          </w14:textFill>
        </w:rPr>
      </w:pPr>
      <w:r>
        <w:rPr>
          <w:rFonts w:ascii="仿宋_GB2312" w:eastAsia="仿宋_GB2312"/>
          <w:color w:val="000000" w:themeColor="text1"/>
          <w:sz w:val="24"/>
          <w:szCs w:val="24"/>
          <w14:textFill>
            <w14:solidFill>
              <w14:schemeClr w14:val="tx1"/>
            </w14:solidFill>
          </w14:textFill>
        </w:rPr>
        <w:tab/>
      </w:r>
    </w:p>
    <w:p w14:paraId="78B9DBC6">
      <w:pPr>
        <w:keepNext w:val="0"/>
        <w:keepLines w:val="0"/>
        <w:pageBreakBefore w:val="0"/>
        <w:kinsoku/>
        <w:wordWrap/>
        <w:overflowPunct/>
        <w:topLinePunct w:val="0"/>
        <w:autoSpaceDE/>
        <w:autoSpaceDN/>
        <w:bidi w:val="0"/>
        <w:spacing w:line="360" w:lineRule="auto"/>
        <w:ind w:firstLine="0" w:firstLineChars="0"/>
        <w:jc w:val="center"/>
        <w:textAlignment w:val="auto"/>
        <w:rPr>
          <w:rFonts w:hint="eastAsia" w:asciiTheme="minorEastAsia" w:hAnsiTheme="minorEastAsia"/>
          <w:b/>
          <w:color w:val="000000" w:themeColor="text1"/>
          <w:sz w:val="30"/>
          <w:szCs w:val="30"/>
          <w14:textFill>
            <w14:solidFill>
              <w14:schemeClr w14:val="tx1"/>
            </w14:solidFill>
          </w14:textFill>
        </w:rPr>
      </w:pPr>
      <w:r>
        <w:rPr>
          <w:rFonts w:hint="eastAsia" w:asciiTheme="minorEastAsia" w:hAnsiTheme="minorEastAsia"/>
          <w:b/>
          <w:color w:val="000000" w:themeColor="text1"/>
          <w:sz w:val="30"/>
          <w:szCs w:val="30"/>
          <w14:textFill>
            <w14:solidFill>
              <w14:schemeClr w14:val="tx1"/>
            </w14:solidFill>
          </w14:textFill>
        </w:rPr>
        <w:t>建设单位:</w:t>
      </w:r>
      <w:r>
        <w:rPr>
          <w:rFonts w:hint="eastAsia"/>
          <w:sz w:val="30"/>
          <w:szCs w:val="30"/>
        </w:rPr>
        <w:t xml:space="preserve"> </w:t>
      </w:r>
      <w:r>
        <w:rPr>
          <w:rFonts w:hint="eastAsia" w:asciiTheme="minorEastAsia" w:hAnsiTheme="minorEastAsia"/>
          <w:b/>
          <w:color w:val="000000" w:themeColor="text1"/>
          <w:sz w:val="30"/>
          <w:szCs w:val="30"/>
          <w14:textFill>
            <w14:solidFill>
              <w14:schemeClr w14:val="tx1"/>
            </w14:solidFill>
          </w14:textFill>
        </w:rPr>
        <w:t>安庆帝伯格茨活塞环有限公司</w:t>
      </w:r>
    </w:p>
    <w:p w14:paraId="1EA0DA24">
      <w:pPr>
        <w:keepNext w:val="0"/>
        <w:keepLines w:val="0"/>
        <w:pageBreakBefore w:val="0"/>
        <w:kinsoku/>
        <w:wordWrap/>
        <w:overflowPunct/>
        <w:topLinePunct w:val="0"/>
        <w:autoSpaceDE/>
        <w:autoSpaceDN/>
        <w:bidi w:val="0"/>
        <w:spacing w:line="360" w:lineRule="auto"/>
        <w:ind w:firstLine="0" w:firstLineChars="0"/>
        <w:jc w:val="center"/>
        <w:textAlignment w:val="auto"/>
        <w:rPr>
          <w:rFonts w:hint="eastAsia" w:asciiTheme="minorEastAsia" w:hAnsiTheme="minorEastAsia"/>
          <w:b/>
          <w:color w:val="000000" w:themeColor="text1"/>
          <w:sz w:val="30"/>
          <w:szCs w:val="30"/>
          <w14:textFill>
            <w14:solidFill>
              <w14:schemeClr w14:val="tx1"/>
            </w14:solidFill>
          </w14:textFill>
        </w:rPr>
      </w:pPr>
      <w:r>
        <w:rPr>
          <w:rFonts w:hint="eastAsia" w:asciiTheme="minorEastAsia" w:hAnsiTheme="minorEastAsia"/>
          <w:b/>
          <w:color w:val="000000" w:themeColor="text1"/>
          <w:sz w:val="30"/>
          <w:szCs w:val="30"/>
          <w14:textFill>
            <w14:solidFill>
              <w14:schemeClr w14:val="tx1"/>
            </w14:solidFill>
          </w14:textFill>
        </w:rPr>
        <w:t>报告编制单位：安徽凯格环保工程有限公司</w:t>
      </w:r>
    </w:p>
    <w:p w14:paraId="6F905FBF">
      <w:pPr>
        <w:keepNext w:val="0"/>
        <w:keepLines w:val="0"/>
        <w:pageBreakBefore w:val="0"/>
        <w:kinsoku/>
        <w:wordWrap/>
        <w:overflowPunct/>
        <w:topLinePunct w:val="0"/>
        <w:autoSpaceDE/>
        <w:autoSpaceDN/>
        <w:bidi w:val="0"/>
        <w:spacing w:line="360" w:lineRule="auto"/>
        <w:ind w:firstLine="0" w:firstLineChars="0"/>
        <w:jc w:val="center"/>
        <w:textAlignment w:val="auto"/>
        <w:rPr>
          <w:rFonts w:asciiTheme="minorEastAsia" w:hAnsiTheme="minorEastAsia"/>
          <w:b/>
          <w:color w:val="000000" w:themeColor="text1"/>
          <w:sz w:val="28"/>
          <w:szCs w:val="28"/>
          <w14:textFill>
            <w14:solidFill>
              <w14:schemeClr w14:val="tx1"/>
            </w14:solidFill>
          </w14:textFill>
        </w:rPr>
      </w:pPr>
      <w:r>
        <w:rPr>
          <w:rFonts w:hint="eastAsia" w:asciiTheme="minorEastAsia" w:hAnsiTheme="minorEastAsia"/>
          <w:b/>
          <w:color w:val="000000" w:themeColor="text1"/>
          <w:sz w:val="30"/>
          <w:szCs w:val="30"/>
          <w14:textFill>
            <w14:solidFill>
              <w14:schemeClr w14:val="tx1"/>
            </w14:solidFill>
          </w14:textFill>
        </w:rPr>
        <w:t>编制日期：二〇二</w:t>
      </w:r>
      <w:r>
        <w:rPr>
          <w:rFonts w:hint="eastAsia" w:asciiTheme="minorEastAsia" w:hAnsiTheme="minorEastAsia"/>
          <w:b/>
          <w:color w:val="000000" w:themeColor="text1"/>
          <w:sz w:val="30"/>
          <w:szCs w:val="30"/>
          <w:lang w:val="en-US" w:eastAsia="zh-CN"/>
          <w14:textFill>
            <w14:solidFill>
              <w14:schemeClr w14:val="tx1"/>
            </w14:solidFill>
          </w14:textFill>
        </w:rPr>
        <w:t>六</w:t>
      </w:r>
      <w:r>
        <w:rPr>
          <w:rFonts w:hint="eastAsia" w:asciiTheme="minorEastAsia" w:hAnsiTheme="minorEastAsia"/>
          <w:b/>
          <w:color w:val="000000" w:themeColor="text1"/>
          <w:sz w:val="30"/>
          <w:szCs w:val="30"/>
          <w14:textFill>
            <w14:solidFill>
              <w14:schemeClr w14:val="tx1"/>
            </w14:solidFill>
          </w14:textFill>
        </w:rPr>
        <w:t>年</w:t>
      </w:r>
      <w:r>
        <w:rPr>
          <w:rFonts w:hint="eastAsia" w:asciiTheme="minorEastAsia" w:hAnsiTheme="minorEastAsia"/>
          <w:b/>
          <w:color w:val="000000" w:themeColor="text1"/>
          <w:sz w:val="30"/>
          <w:szCs w:val="30"/>
          <w:lang w:val="en-US" w:eastAsia="zh-CN"/>
          <w14:textFill>
            <w14:solidFill>
              <w14:schemeClr w14:val="tx1"/>
            </w14:solidFill>
          </w14:textFill>
        </w:rPr>
        <w:t>二</w:t>
      </w:r>
      <w:r>
        <w:rPr>
          <w:rFonts w:hint="eastAsia" w:asciiTheme="minorEastAsia" w:hAnsiTheme="minorEastAsia"/>
          <w:b/>
          <w:color w:val="000000" w:themeColor="text1"/>
          <w:sz w:val="30"/>
          <w:szCs w:val="30"/>
          <w14:textFill>
            <w14:solidFill>
              <w14:schemeClr w14:val="tx1"/>
            </w14:solidFill>
          </w14:textFill>
        </w:rPr>
        <w:t>月</w:t>
      </w:r>
    </w:p>
    <w:p w14:paraId="65F2756B">
      <w:pPr>
        <w:widowControl/>
        <w:jc w:val="left"/>
        <w:rPr>
          <w:rFonts w:asciiTheme="minorEastAsia" w:hAnsiTheme="minorEastAsia"/>
          <w:b/>
          <w:color w:val="000000" w:themeColor="text1"/>
          <w:sz w:val="28"/>
          <w:szCs w:val="28"/>
          <w14:textFill>
            <w14:solidFill>
              <w14:schemeClr w14:val="tx1"/>
            </w14:solidFill>
          </w14:textFill>
        </w:rPr>
      </w:pPr>
    </w:p>
    <w:p w14:paraId="1A8B7465">
      <w:pPr>
        <w:spacing w:line="480" w:lineRule="auto"/>
        <w:ind w:firstLine="0" w:firstLineChars="0"/>
        <w:rPr>
          <w:rFonts w:hint="eastAsia"/>
          <w:b/>
          <w:bCs/>
          <w:sz w:val="28"/>
          <w:szCs w:val="28"/>
        </w:rPr>
      </w:pPr>
      <w:r>
        <w:rPr>
          <w:rFonts w:hint="eastAsia"/>
          <w:b/>
          <w:bCs/>
          <w:sz w:val="28"/>
          <w:szCs w:val="28"/>
        </w:rPr>
        <w:t xml:space="preserve">建设单位法人代表：        </w:t>
      </w:r>
      <w:r>
        <w:rPr>
          <w:rFonts w:hint="eastAsia"/>
          <w:b/>
          <w:bCs/>
          <w:sz w:val="28"/>
          <w:szCs w:val="28"/>
          <w:lang w:val="en-US" w:eastAsia="zh-CN"/>
        </w:rPr>
        <w:t xml:space="preserve"> </w:t>
      </w:r>
      <w:r>
        <w:rPr>
          <w:rFonts w:hint="eastAsia"/>
          <w:b/>
          <w:bCs/>
          <w:sz w:val="28"/>
          <w:szCs w:val="28"/>
        </w:rPr>
        <w:t xml:space="preserve"> （签字）</w:t>
      </w:r>
    </w:p>
    <w:p w14:paraId="1C4DDCA5">
      <w:pPr>
        <w:spacing w:line="480" w:lineRule="auto"/>
        <w:ind w:firstLine="0" w:firstLineChars="0"/>
        <w:rPr>
          <w:rFonts w:hint="eastAsia"/>
          <w:b/>
          <w:bCs/>
          <w:sz w:val="28"/>
          <w:szCs w:val="28"/>
        </w:rPr>
      </w:pPr>
      <w:r>
        <w:rPr>
          <w:rFonts w:hint="eastAsia"/>
          <w:b/>
          <w:bCs/>
          <w:sz w:val="28"/>
          <w:szCs w:val="28"/>
        </w:rPr>
        <w:t>编制单位法人代表:</w:t>
      </w:r>
      <w:r>
        <w:rPr>
          <w:rFonts w:hint="eastAsia"/>
          <w:b/>
          <w:bCs/>
          <w:sz w:val="28"/>
          <w:szCs w:val="28"/>
        </w:rPr>
        <w:tab/>
      </w:r>
      <w:r>
        <w:rPr>
          <w:rFonts w:hint="eastAsia"/>
          <w:b/>
          <w:bCs/>
          <w:sz w:val="28"/>
          <w:szCs w:val="28"/>
        </w:rPr>
        <w:t xml:space="preserve">          （签字）</w:t>
      </w:r>
    </w:p>
    <w:p w14:paraId="68D745B0">
      <w:pPr>
        <w:spacing w:line="480" w:lineRule="auto"/>
        <w:ind w:firstLine="0" w:firstLineChars="0"/>
        <w:rPr>
          <w:rFonts w:hint="eastAsia"/>
          <w:b/>
          <w:bCs/>
          <w:sz w:val="28"/>
          <w:szCs w:val="28"/>
        </w:rPr>
      </w:pPr>
      <w:r>
        <w:rPr>
          <w:rFonts w:hint="eastAsia"/>
          <w:b/>
          <w:bCs/>
          <w:sz w:val="28"/>
          <w:szCs w:val="28"/>
        </w:rPr>
        <w:t>项目负责人：</w:t>
      </w:r>
    </w:p>
    <w:p w14:paraId="0F1D836A">
      <w:pPr>
        <w:spacing w:line="480" w:lineRule="auto"/>
        <w:ind w:firstLine="0" w:firstLineChars="0"/>
        <w:rPr>
          <w:rFonts w:hint="eastAsia"/>
          <w:b/>
          <w:bCs/>
          <w:sz w:val="28"/>
          <w:szCs w:val="28"/>
        </w:rPr>
      </w:pPr>
      <w:r>
        <w:rPr>
          <w:rFonts w:hint="eastAsia"/>
          <w:b/>
          <w:bCs/>
          <w:sz w:val="28"/>
          <w:szCs w:val="28"/>
          <w:lang w:eastAsia="zh-CN"/>
        </w:rPr>
        <w:t>报告编写人</w:t>
      </w:r>
      <w:r>
        <w:rPr>
          <w:rFonts w:hint="eastAsia"/>
          <w:b/>
          <w:bCs/>
          <w:sz w:val="28"/>
          <w:szCs w:val="28"/>
        </w:rPr>
        <w:t>：</w:t>
      </w:r>
    </w:p>
    <w:p w14:paraId="765FE34F">
      <w:pPr>
        <w:spacing w:line="360" w:lineRule="auto"/>
        <w:ind w:firstLine="562"/>
        <w:rPr>
          <w:rFonts w:hint="eastAsia" w:ascii="仿宋_GB2312" w:eastAsia="仿宋_GB2312"/>
          <w:b/>
          <w:sz w:val="28"/>
        </w:rPr>
      </w:pPr>
    </w:p>
    <w:p w14:paraId="76B418A7">
      <w:pPr>
        <w:spacing w:line="360" w:lineRule="auto"/>
        <w:ind w:firstLine="562"/>
        <w:rPr>
          <w:rFonts w:hint="eastAsia" w:ascii="仿宋_GB2312" w:eastAsia="仿宋_GB2312"/>
          <w:b/>
          <w:sz w:val="28"/>
        </w:rPr>
      </w:pPr>
    </w:p>
    <w:p w14:paraId="21F041E4">
      <w:pPr>
        <w:spacing w:line="360" w:lineRule="auto"/>
        <w:ind w:firstLine="562"/>
        <w:rPr>
          <w:rFonts w:hint="eastAsia" w:ascii="仿宋_GB2312" w:eastAsia="仿宋_GB2312"/>
          <w:b/>
          <w:sz w:val="28"/>
        </w:rPr>
      </w:pPr>
    </w:p>
    <w:p w14:paraId="3C7D02F6">
      <w:pPr>
        <w:spacing w:line="360" w:lineRule="auto"/>
        <w:ind w:firstLine="562"/>
        <w:rPr>
          <w:rFonts w:hint="eastAsia" w:ascii="仿宋_GB2312" w:eastAsia="仿宋_GB2312"/>
          <w:b/>
          <w:sz w:val="28"/>
        </w:rPr>
      </w:pPr>
    </w:p>
    <w:p w14:paraId="6B565ED5">
      <w:pPr>
        <w:spacing w:line="360" w:lineRule="auto"/>
        <w:ind w:firstLine="562"/>
        <w:rPr>
          <w:rFonts w:hint="eastAsia" w:ascii="仿宋_GB2312" w:hAnsi="Times New Roman" w:eastAsia="仿宋_GB2312" w:cs="Times New Roman"/>
          <w:b/>
          <w:sz w:val="28"/>
        </w:rPr>
      </w:pPr>
    </w:p>
    <w:p w14:paraId="3F514810">
      <w:pPr>
        <w:spacing w:line="360" w:lineRule="auto"/>
        <w:ind w:firstLine="562"/>
        <w:rPr>
          <w:rFonts w:hint="eastAsia" w:ascii="仿宋_GB2312" w:hAnsi="Times New Roman" w:eastAsia="仿宋_GB2312" w:cs="Times New Roman"/>
          <w:b/>
          <w:sz w:val="28"/>
        </w:rPr>
      </w:pPr>
    </w:p>
    <w:p w14:paraId="264ED06B">
      <w:pPr>
        <w:spacing w:line="360" w:lineRule="auto"/>
        <w:ind w:firstLine="562"/>
        <w:rPr>
          <w:rFonts w:hint="eastAsia" w:ascii="仿宋_GB2312" w:hAnsi="Times New Roman" w:eastAsia="仿宋_GB2312" w:cs="Times New Roman"/>
          <w:b/>
          <w:sz w:val="28"/>
        </w:rPr>
      </w:pPr>
    </w:p>
    <w:p w14:paraId="0431DCA8">
      <w:pPr>
        <w:pStyle w:val="6"/>
        <w:rPr>
          <w:rFonts w:hint="eastAsia" w:ascii="仿宋_GB2312" w:hAnsi="Times New Roman" w:eastAsia="仿宋_GB2312" w:cs="Times New Roman"/>
          <w:b/>
          <w:sz w:val="28"/>
        </w:rPr>
      </w:pPr>
    </w:p>
    <w:p w14:paraId="5D8F8655">
      <w:pPr>
        <w:bidi w:val="0"/>
        <w:rPr>
          <w:rFonts w:hint="eastAsia"/>
        </w:rPr>
      </w:pPr>
    </w:p>
    <w:p w14:paraId="0C4CFE81">
      <w:pPr>
        <w:pStyle w:val="6"/>
        <w:rPr>
          <w:rFonts w:hint="eastAsia"/>
        </w:rPr>
      </w:pPr>
    </w:p>
    <w:p w14:paraId="7E85E8B8">
      <w:pPr>
        <w:rPr>
          <w:rFonts w:hint="eastAsia" w:ascii="仿宋_GB2312" w:hAnsi="Times New Roman" w:eastAsia="仿宋_GB2312" w:cs="Times New Roman"/>
          <w:b/>
          <w:sz w:val="28"/>
        </w:rPr>
      </w:pPr>
    </w:p>
    <w:p w14:paraId="31E2F40D">
      <w:pPr>
        <w:pStyle w:val="6"/>
        <w:rPr>
          <w:rFonts w:hint="eastAsia"/>
        </w:rPr>
      </w:pPr>
    </w:p>
    <w:p w14:paraId="51FF0FD1">
      <w:pPr>
        <w:spacing w:line="360" w:lineRule="auto"/>
        <w:ind w:firstLine="562"/>
        <w:rPr>
          <w:rFonts w:hint="eastAsia" w:ascii="仿宋_GB2312" w:hAnsi="Times New Roman" w:eastAsia="仿宋_GB2312" w:cs="Times New Roman"/>
          <w:b/>
          <w:sz w:val="28"/>
        </w:rPr>
      </w:pPr>
    </w:p>
    <w:p w14:paraId="599647E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_GB2312" w:hAnsi="Times New Roman" w:eastAsia="仿宋_GB2312" w:cs="Times New Roman"/>
          <w:b/>
          <w:sz w:val="28"/>
        </w:rPr>
        <w:sectPr>
          <w:footerReference r:id="rId5" w:type="default"/>
          <w:pgSz w:w="11906" w:h="16838"/>
          <w:pgMar w:top="1440" w:right="1797" w:bottom="1440" w:left="1797" w:header="708" w:footer="708" w:gutter="0"/>
          <w:pgBorders>
            <w:top w:val="none" w:sz="0" w:space="0"/>
            <w:left w:val="none" w:sz="0" w:space="0"/>
            <w:bottom w:val="none" w:sz="0" w:space="0"/>
            <w:right w:val="none" w:sz="0" w:space="0"/>
          </w:pgBorders>
          <w:cols w:space="720" w:num="1"/>
          <w:titlePg/>
          <w:docGrid w:linePitch="360" w:charSpace="0"/>
        </w:sectPr>
      </w:pPr>
    </w:p>
    <w:p w14:paraId="79F34737">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hint="eastAsia" w:ascii="仿宋_GB2312" w:hAnsi="Times New Roman" w:eastAsia="仿宋_GB2312" w:cs="Times New Roman"/>
          <w:b/>
          <w:sz w:val="28"/>
        </w:rPr>
      </w:pPr>
      <w:r>
        <w:rPr>
          <w:rFonts w:hint="eastAsia" w:ascii="宋体" w:hAnsi="宋体" w:cs="宋体"/>
          <w:sz w:val="28"/>
          <w:szCs w:val="28"/>
        </w:rPr>
        <w:t xml:space="preserve">建设单位      </w:t>
      </w:r>
      <w:r>
        <w:rPr>
          <w:rFonts w:hint="eastAsia" w:ascii="宋体" w:hAnsi="宋体" w:cs="宋体"/>
          <w:sz w:val="28"/>
          <w:szCs w:val="28"/>
          <w:lang w:val="en-US" w:eastAsia="zh-CN"/>
        </w:rPr>
        <w:t xml:space="preserve">    </w:t>
      </w:r>
      <w:r>
        <w:rPr>
          <w:rFonts w:hint="eastAsia" w:ascii="宋体" w:hAnsi="宋体" w:cs="宋体"/>
          <w:sz w:val="28"/>
          <w:szCs w:val="28"/>
        </w:rPr>
        <w:t>（盖章）</w:t>
      </w:r>
    </w:p>
    <w:p w14:paraId="582EE2CE">
      <w:pPr>
        <w:spacing w:line="480" w:lineRule="auto"/>
        <w:ind w:firstLine="0" w:firstLineChars="0"/>
        <w:rPr>
          <w:rFonts w:hint="eastAsia" w:ascii="宋体" w:hAnsi="宋体" w:cs="宋体"/>
          <w:sz w:val="28"/>
          <w:szCs w:val="28"/>
        </w:rPr>
      </w:pPr>
      <w:r>
        <w:rPr>
          <w:rFonts w:hint="eastAsia" w:ascii="宋体" w:hAnsi="宋体" w:cs="宋体"/>
          <w:sz w:val="28"/>
          <w:szCs w:val="28"/>
        </w:rPr>
        <w:t xml:space="preserve">电话: </w:t>
      </w:r>
    </w:p>
    <w:p w14:paraId="269565E7">
      <w:pPr>
        <w:spacing w:line="480" w:lineRule="auto"/>
        <w:ind w:firstLine="0" w:firstLineChars="0"/>
        <w:jc w:val="left"/>
        <w:rPr>
          <w:rFonts w:hint="eastAsia" w:ascii="宋体" w:hAnsi="宋体" w:cs="宋体"/>
          <w:sz w:val="28"/>
          <w:szCs w:val="28"/>
        </w:rPr>
      </w:pPr>
      <w:r>
        <w:rPr>
          <w:rFonts w:hint="eastAsia" w:ascii="宋体" w:hAnsi="宋体" w:cs="宋体"/>
          <w:sz w:val="28"/>
          <w:szCs w:val="28"/>
        </w:rPr>
        <w:t>传真:                         邮编:</w:t>
      </w:r>
    </w:p>
    <w:p w14:paraId="138B9C2E">
      <w:pPr>
        <w:spacing w:line="480" w:lineRule="auto"/>
        <w:ind w:firstLine="0" w:firstLineChars="0"/>
        <w:jc w:val="left"/>
        <w:rPr>
          <w:rFonts w:hint="eastAsia" w:ascii="宋体" w:hAnsi="宋体" w:cs="宋体"/>
          <w:sz w:val="28"/>
          <w:szCs w:val="28"/>
        </w:rPr>
      </w:pPr>
      <w:r>
        <w:rPr>
          <w:rFonts w:hint="eastAsia" w:ascii="宋体" w:hAnsi="宋体" w:cs="宋体"/>
          <w:sz w:val="28"/>
          <w:szCs w:val="28"/>
        </w:rPr>
        <w:t>地址:</w:t>
      </w:r>
    </w:p>
    <w:p w14:paraId="7909E68F">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hint="eastAsia" w:ascii="仿宋_GB2312" w:hAnsi="Times New Roman" w:eastAsia="仿宋_GB2312" w:cs="Times New Roman"/>
          <w:b/>
          <w:sz w:val="28"/>
        </w:rPr>
      </w:pPr>
      <w:r>
        <w:rPr>
          <w:rFonts w:hint="eastAsia" w:ascii="宋体" w:hAnsi="宋体" w:cs="宋体"/>
          <w:sz w:val="28"/>
          <w:szCs w:val="28"/>
        </w:rPr>
        <w:t xml:space="preserve">编制单位     </w:t>
      </w:r>
      <w:r>
        <w:rPr>
          <w:rFonts w:hint="eastAsia" w:ascii="宋体" w:hAnsi="宋体" w:cs="宋体"/>
          <w:sz w:val="28"/>
          <w:szCs w:val="28"/>
          <w:lang w:val="en-US" w:eastAsia="zh-CN"/>
        </w:rPr>
        <w:t xml:space="preserve">     </w:t>
      </w:r>
      <w:r>
        <w:rPr>
          <w:rFonts w:hint="eastAsia" w:ascii="宋体" w:hAnsi="宋体" w:cs="宋体"/>
          <w:sz w:val="28"/>
          <w:szCs w:val="28"/>
        </w:rPr>
        <w:t xml:space="preserve"> （盖章）</w:t>
      </w:r>
    </w:p>
    <w:p w14:paraId="67A72957">
      <w:pPr>
        <w:spacing w:line="480" w:lineRule="auto"/>
        <w:ind w:firstLine="0" w:firstLineChars="0"/>
        <w:rPr>
          <w:rFonts w:hint="eastAsia" w:ascii="宋体" w:hAnsi="宋体" w:cs="宋体"/>
          <w:sz w:val="28"/>
          <w:szCs w:val="28"/>
        </w:rPr>
      </w:pPr>
      <w:r>
        <w:rPr>
          <w:rFonts w:hint="eastAsia" w:ascii="宋体" w:hAnsi="宋体" w:cs="宋体"/>
          <w:sz w:val="28"/>
          <w:szCs w:val="28"/>
        </w:rPr>
        <w:t xml:space="preserve">电话: </w:t>
      </w:r>
    </w:p>
    <w:p w14:paraId="72F42A84">
      <w:pPr>
        <w:spacing w:line="480" w:lineRule="auto"/>
        <w:ind w:firstLine="0" w:firstLineChars="0"/>
        <w:jc w:val="left"/>
        <w:rPr>
          <w:rFonts w:hint="eastAsia" w:ascii="宋体" w:hAnsi="宋体" w:cs="宋体"/>
          <w:sz w:val="28"/>
          <w:szCs w:val="28"/>
        </w:rPr>
      </w:pPr>
      <w:r>
        <w:rPr>
          <w:rFonts w:hint="eastAsia" w:ascii="宋体" w:hAnsi="宋体" w:cs="宋体"/>
          <w:sz w:val="28"/>
          <w:szCs w:val="28"/>
        </w:rPr>
        <w:t>传真:                         邮编:</w:t>
      </w:r>
    </w:p>
    <w:p w14:paraId="3F200F93">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hint="eastAsia" w:ascii="仿宋_GB2312" w:hAnsi="Times New Roman" w:eastAsia="仿宋_GB2312" w:cs="Times New Roman"/>
          <w:b/>
          <w:sz w:val="28"/>
        </w:rPr>
      </w:pPr>
      <w:r>
        <w:rPr>
          <w:rFonts w:hint="eastAsia" w:ascii="宋体" w:hAnsi="宋体" w:cs="宋体"/>
          <w:sz w:val="28"/>
          <w:szCs w:val="28"/>
        </w:rPr>
        <w:t>地址:</w:t>
      </w:r>
    </w:p>
    <w:p w14:paraId="1ECCC098">
      <w:pPr>
        <w:widowControl/>
        <w:jc w:val="left"/>
        <w:rPr>
          <w:rFonts w:ascii="仿宋_GB2312" w:hAnsi="Tahoma" w:eastAsia="仿宋_GB2312" w:cs="Times New Roman"/>
          <w:b/>
          <w:color w:val="000000" w:themeColor="text1"/>
          <w:kern w:val="0"/>
          <w:sz w:val="28"/>
          <w14:textFill>
            <w14:solidFill>
              <w14:schemeClr w14:val="tx1"/>
            </w14:solidFill>
          </w14:textFill>
        </w:rPr>
        <w:sectPr>
          <w:type w:val="continuous"/>
          <w:pgSz w:w="11906" w:h="16838"/>
          <w:pgMar w:top="1440" w:right="1797" w:bottom="1440" w:left="1797" w:header="708" w:footer="708" w:gutter="0"/>
          <w:pgBorders>
            <w:top w:val="none" w:sz="0" w:space="0"/>
            <w:left w:val="none" w:sz="0" w:space="0"/>
            <w:bottom w:val="none" w:sz="0" w:space="0"/>
            <w:right w:val="none" w:sz="0" w:space="0"/>
          </w:pgBorders>
          <w:cols w:equalWidth="0" w:num="2">
            <w:col w:w="3943" w:space="425"/>
            <w:col w:w="3943"/>
          </w:cols>
          <w:titlePg/>
          <w:docGrid w:linePitch="360" w:charSpace="0"/>
        </w:sectPr>
      </w:pPr>
    </w:p>
    <w:p w14:paraId="3160448C">
      <w:pPr>
        <w:widowControl/>
        <w:jc w:val="left"/>
        <w:rPr>
          <w:rFonts w:ascii="仿宋_GB2312" w:hAnsi="Tahoma" w:eastAsia="仿宋_GB2312" w:cs="Times New Roman"/>
          <w:b/>
          <w:color w:val="000000" w:themeColor="text1"/>
          <w:kern w:val="0"/>
          <w:sz w:val="28"/>
          <w14:textFill>
            <w14:solidFill>
              <w14:schemeClr w14:val="tx1"/>
            </w14:solidFill>
          </w14:textFill>
        </w:rPr>
        <w:sectPr>
          <w:type w:val="continuous"/>
          <w:pgSz w:w="11906" w:h="16838"/>
          <w:pgMar w:top="1440" w:right="1797" w:bottom="1440" w:left="1797" w:header="708" w:footer="708" w:gutter="0"/>
          <w:pgBorders>
            <w:top w:val="none" w:sz="0" w:space="0"/>
            <w:left w:val="none" w:sz="0" w:space="0"/>
            <w:bottom w:val="none" w:sz="0" w:space="0"/>
            <w:right w:val="none" w:sz="0" w:space="0"/>
          </w:pgBorders>
          <w:cols w:space="720" w:num="1"/>
          <w:titlePg/>
          <w:docGrid w:linePitch="360" w:charSpace="0"/>
        </w:sectPr>
      </w:pPr>
      <w:r>
        <w:rPr>
          <w:rFonts w:ascii="仿宋_GB2312" w:hAnsi="Tahoma" w:eastAsia="仿宋_GB2312" w:cs="Times New Roman"/>
          <w:b/>
          <w:color w:val="000000" w:themeColor="text1"/>
          <w:kern w:val="0"/>
          <w:sz w:val="28"/>
          <w14:textFill>
            <w14:solidFill>
              <w14:schemeClr w14:val="tx1"/>
            </w14:solidFill>
          </w14:textFill>
        </w:rPr>
        <w:br w:type="page"/>
      </w:r>
    </w:p>
    <w:p w14:paraId="1CBE1CA7">
      <w:pPr>
        <w:pStyle w:val="2"/>
        <w:bidi w:val="0"/>
      </w:pPr>
      <w:r>
        <w:t>表一</w:t>
      </w:r>
    </w:p>
    <w:tbl>
      <w:tblPr>
        <w:tblStyle w:val="19"/>
        <w:tblW w:w="892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696"/>
        <w:gridCol w:w="772"/>
        <w:gridCol w:w="2085"/>
        <w:gridCol w:w="1753"/>
        <w:gridCol w:w="1277"/>
        <w:gridCol w:w="1086"/>
        <w:gridCol w:w="1590"/>
      </w:tblGrid>
      <w:tr w14:paraId="1A54C1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cantSplit/>
          <w:trHeight w:val="482" w:hRule="atLeast"/>
          <w:jc w:val="center"/>
        </w:trPr>
        <w:tc>
          <w:tcPr>
            <w:tcW w:w="2307" w:type="dxa"/>
            <w:gridSpan w:val="2"/>
            <w:vAlign w:val="center"/>
          </w:tcPr>
          <w:p w14:paraId="1D42940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w:t>
            </w:r>
          </w:p>
          <w:p w14:paraId="1D80EC76">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名称</w:t>
            </w:r>
          </w:p>
        </w:tc>
        <w:tc>
          <w:tcPr>
            <w:tcW w:w="6617" w:type="dxa"/>
            <w:gridSpan w:val="5"/>
            <w:vAlign w:val="center"/>
          </w:tcPr>
          <w:p w14:paraId="5F63052E">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eastAsia"/>
                <w:color w:val="000000"/>
                <w:sz w:val="24"/>
              </w:rPr>
              <w:t>端面密封件生产线提升与智能化改造项目</w:t>
            </w:r>
          </w:p>
        </w:tc>
      </w:tr>
      <w:tr w14:paraId="03D173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62" w:hRule="atLeast"/>
          <w:jc w:val="center"/>
        </w:trPr>
        <w:tc>
          <w:tcPr>
            <w:tcW w:w="2307" w:type="dxa"/>
            <w:gridSpan w:val="2"/>
            <w:vAlign w:val="center"/>
          </w:tcPr>
          <w:p w14:paraId="7CEE390D">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建设单位</w:t>
            </w:r>
          </w:p>
          <w:p w14:paraId="08474D4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名称</w:t>
            </w:r>
          </w:p>
        </w:tc>
        <w:tc>
          <w:tcPr>
            <w:tcW w:w="6617" w:type="dxa"/>
            <w:gridSpan w:val="5"/>
            <w:vAlign w:val="center"/>
          </w:tcPr>
          <w:p w14:paraId="416160EC">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eastAsia" w:ascii="Times New Roman" w:hAnsi="Times New Roman" w:eastAsia="宋体" w:cs="Times New Roman"/>
                <w:kern w:val="2"/>
                <w:sz w:val="24"/>
                <w:szCs w:val="24"/>
                <w:lang w:val="en-US" w:eastAsia="zh-CN" w:bidi="ar"/>
              </w:rPr>
              <w:t>安庆帝伯格茨活塞环有限公司</w:t>
            </w:r>
          </w:p>
        </w:tc>
      </w:tr>
      <w:tr w14:paraId="5FBFAA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07" w:type="dxa"/>
            <w:gridSpan w:val="2"/>
            <w:vAlign w:val="center"/>
          </w:tcPr>
          <w:p w14:paraId="005534BC">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w:t>
            </w:r>
          </w:p>
          <w:p w14:paraId="6C382EF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性质</w:t>
            </w:r>
          </w:p>
        </w:tc>
        <w:tc>
          <w:tcPr>
            <w:tcW w:w="6617" w:type="dxa"/>
            <w:gridSpan w:val="5"/>
            <w:vAlign w:val="center"/>
          </w:tcPr>
          <w:p w14:paraId="4B31093E">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color w:val="000000"/>
                <w:kern w:val="0"/>
                <w:sz w:val="24"/>
                <w:szCs w:val="24"/>
              </w:rPr>
            </w:pPr>
            <w:r>
              <w:rPr>
                <w:rFonts w:hint="default" w:ascii="Wingdings 2" w:hAnsi="Wingdings 2"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 xml:space="preserve">新建  </w:t>
            </w:r>
            <w:r>
              <w:rPr>
                <w:rFonts w:hint="default" w:ascii="宋体" w:hAnsi="宋体" w:eastAsia="宋体" w:cs="Times New Roman"/>
                <w:color w:val="000000"/>
                <w:kern w:val="0"/>
                <w:sz w:val="24"/>
                <w:szCs w:val="24"/>
              </w:rPr>
              <w:sym w:font="Wingdings 2" w:char="0052"/>
            </w:r>
            <w:r>
              <w:rPr>
                <w:rFonts w:hint="default" w:ascii="宋体" w:hAnsi="宋体" w:eastAsia="宋体" w:cs="Times New Roman"/>
                <w:color w:val="000000"/>
                <w:kern w:val="0"/>
                <w:sz w:val="24"/>
                <w:szCs w:val="24"/>
              </w:rPr>
              <w:t xml:space="preserve">改扩建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 xml:space="preserve">技改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迁建</w:t>
            </w:r>
          </w:p>
        </w:tc>
      </w:tr>
      <w:tr w14:paraId="4C6CE9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07" w:type="dxa"/>
            <w:gridSpan w:val="2"/>
            <w:vAlign w:val="center"/>
          </w:tcPr>
          <w:p w14:paraId="5707D7B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建设地点</w:t>
            </w:r>
          </w:p>
        </w:tc>
        <w:tc>
          <w:tcPr>
            <w:tcW w:w="6617" w:type="dxa"/>
            <w:gridSpan w:val="5"/>
            <w:vAlign w:val="center"/>
          </w:tcPr>
          <w:p w14:paraId="60D81065">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eastAsia" w:ascii="Times New Roman" w:hAnsi="Times New Roman" w:eastAsia="宋体" w:cs="宋体"/>
                <w:kern w:val="2"/>
                <w:sz w:val="24"/>
                <w:szCs w:val="20"/>
                <w:lang w:val="en-US" w:eastAsia="zh-CN" w:bidi="ar"/>
              </w:rPr>
              <w:t>安徽省安庆市</w:t>
            </w:r>
            <w:bookmarkStart w:id="2" w:name="_GoBack"/>
            <w:r>
              <w:rPr>
                <w:rFonts w:hint="eastAsia" w:ascii="Times New Roman" w:hAnsi="Times New Roman" w:eastAsia="宋体" w:cs="宋体"/>
                <w:kern w:val="2"/>
                <w:sz w:val="24"/>
                <w:szCs w:val="20"/>
                <w:lang w:val="en-US" w:eastAsia="zh-CN" w:bidi="ar"/>
              </w:rPr>
              <w:t>大观区集贤北路173号现有厂区内</w:t>
            </w:r>
            <w:bookmarkEnd w:id="2"/>
          </w:p>
        </w:tc>
      </w:tr>
      <w:tr w14:paraId="0D6D16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07" w:type="dxa"/>
            <w:gridSpan w:val="2"/>
            <w:vAlign w:val="center"/>
          </w:tcPr>
          <w:p w14:paraId="43BE6C8D">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主要产品</w:t>
            </w:r>
          </w:p>
          <w:p w14:paraId="565C7430">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名称</w:t>
            </w:r>
          </w:p>
        </w:tc>
        <w:tc>
          <w:tcPr>
            <w:tcW w:w="6617" w:type="dxa"/>
            <w:gridSpan w:val="5"/>
            <w:vAlign w:val="center"/>
          </w:tcPr>
          <w:p w14:paraId="0A35D5C9">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color w:val="000000"/>
                <w:kern w:val="0"/>
                <w:sz w:val="24"/>
                <w:szCs w:val="24"/>
              </w:rPr>
            </w:pPr>
            <w:r>
              <w:rPr>
                <w:rFonts w:hint="default" w:ascii="Times New Roman" w:hAnsi="Times New Roman" w:cs="Times New Roman"/>
                <w:szCs w:val="21"/>
                <w:lang w:eastAsia="zh-CN"/>
              </w:rPr>
              <w:t>端面密封件</w:t>
            </w:r>
          </w:p>
        </w:tc>
      </w:tr>
      <w:tr w14:paraId="3CC3FC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07" w:type="dxa"/>
            <w:gridSpan w:val="2"/>
            <w:vAlign w:val="center"/>
          </w:tcPr>
          <w:p w14:paraId="11EE5B4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设计生产</w:t>
            </w:r>
          </w:p>
          <w:p w14:paraId="21EE359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能力</w:t>
            </w:r>
          </w:p>
        </w:tc>
        <w:tc>
          <w:tcPr>
            <w:tcW w:w="6617" w:type="dxa"/>
            <w:gridSpan w:val="5"/>
            <w:vAlign w:val="center"/>
          </w:tcPr>
          <w:p w14:paraId="2B2CC7D9">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b w:val="0"/>
                <w:bCs w:val="0"/>
                <w:color w:val="000000"/>
                <w:kern w:val="0"/>
                <w:sz w:val="24"/>
                <w:szCs w:val="24"/>
              </w:rPr>
            </w:pPr>
            <w:r>
              <w:rPr>
                <w:rFonts w:hint="eastAsia" w:ascii="宋体" w:hAnsi="宋体" w:eastAsia="宋体" w:cs="Times New Roman"/>
                <w:b w:val="0"/>
                <w:bCs w:val="0"/>
                <w:color w:val="000000"/>
                <w:kern w:val="0"/>
                <w:sz w:val="24"/>
                <w:szCs w:val="24"/>
              </w:rPr>
              <w:t>年产</w:t>
            </w:r>
            <w:r>
              <w:rPr>
                <w:rFonts w:hint="default" w:ascii="Times New Roman" w:hAnsi="Times New Roman" w:cs="Times New Roman"/>
                <w:szCs w:val="21"/>
                <w:lang w:eastAsia="zh-CN"/>
              </w:rPr>
              <w:t>端面密封件</w:t>
            </w:r>
            <w:r>
              <w:rPr>
                <w:rFonts w:hint="eastAsia" w:ascii="Times New Roman" w:hAnsi="Times New Roman" w:cs="Times New Roman"/>
                <w:szCs w:val="21"/>
                <w:lang w:val="en-US" w:eastAsia="zh-CN"/>
              </w:rPr>
              <w:t>196</w:t>
            </w:r>
            <w:r>
              <w:rPr>
                <w:rFonts w:hint="eastAsia" w:ascii="宋体" w:hAnsi="宋体" w:eastAsia="宋体" w:cs="Times New Roman"/>
                <w:b w:val="0"/>
                <w:bCs w:val="0"/>
                <w:color w:val="000000"/>
                <w:kern w:val="0"/>
                <w:sz w:val="24"/>
                <w:szCs w:val="24"/>
                <w:lang w:val="en-US" w:eastAsia="zh-CN"/>
              </w:rPr>
              <w:t>万片</w:t>
            </w:r>
          </w:p>
        </w:tc>
      </w:tr>
      <w:tr w14:paraId="5314A5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07" w:type="dxa"/>
            <w:gridSpan w:val="2"/>
            <w:vAlign w:val="center"/>
          </w:tcPr>
          <w:p w14:paraId="41F8C77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实际生产</w:t>
            </w:r>
          </w:p>
          <w:p w14:paraId="1377AF9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能力</w:t>
            </w:r>
          </w:p>
        </w:tc>
        <w:tc>
          <w:tcPr>
            <w:tcW w:w="6617" w:type="dxa"/>
            <w:gridSpan w:val="5"/>
            <w:vAlign w:val="center"/>
          </w:tcPr>
          <w:p w14:paraId="6AEAB07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b w:val="0"/>
                <w:bCs w:val="0"/>
                <w:color w:val="000000"/>
                <w:kern w:val="0"/>
                <w:sz w:val="24"/>
                <w:szCs w:val="24"/>
              </w:rPr>
            </w:pPr>
            <w:r>
              <w:rPr>
                <w:rFonts w:hint="eastAsia" w:ascii="宋体" w:hAnsi="宋体" w:eastAsia="宋体" w:cs="Times New Roman"/>
                <w:b w:val="0"/>
                <w:bCs w:val="0"/>
                <w:color w:val="000000"/>
                <w:kern w:val="0"/>
                <w:sz w:val="24"/>
                <w:szCs w:val="24"/>
              </w:rPr>
              <w:t>年产</w:t>
            </w:r>
            <w:r>
              <w:rPr>
                <w:rFonts w:hint="default" w:ascii="Times New Roman" w:hAnsi="Times New Roman" w:cs="Times New Roman"/>
                <w:szCs w:val="21"/>
                <w:lang w:eastAsia="zh-CN"/>
              </w:rPr>
              <w:t>端面密封件</w:t>
            </w:r>
            <w:r>
              <w:rPr>
                <w:rFonts w:hint="eastAsia" w:ascii="Times New Roman" w:hAnsi="Times New Roman" w:cs="Times New Roman"/>
                <w:szCs w:val="21"/>
                <w:lang w:val="en-US" w:eastAsia="zh-CN"/>
              </w:rPr>
              <w:t>196</w:t>
            </w:r>
            <w:r>
              <w:rPr>
                <w:rFonts w:hint="eastAsia" w:ascii="宋体" w:hAnsi="宋体" w:eastAsia="宋体" w:cs="Times New Roman"/>
                <w:b w:val="0"/>
                <w:bCs w:val="0"/>
                <w:color w:val="000000"/>
                <w:kern w:val="0"/>
                <w:sz w:val="24"/>
                <w:szCs w:val="24"/>
                <w:lang w:val="en-US" w:eastAsia="zh-CN"/>
              </w:rPr>
              <w:t>万片</w:t>
            </w:r>
          </w:p>
        </w:tc>
      </w:tr>
      <w:tr w14:paraId="761D8F7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07" w:type="dxa"/>
            <w:gridSpan w:val="2"/>
            <w:vAlign w:val="center"/>
          </w:tcPr>
          <w:p w14:paraId="112E412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建设项目环评时间</w:t>
            </w:r>
          </w:p>
        </w:tc>
        <w:tc>
          <w:tcPr>
            <w:tcW w:w="2020" w:type="dxa"/>
            <w:vAlign w:val="center"/>
          </w:tcPr>
          <w:p w14:paraId="1F0B1F4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20</w:t>
            </w:r>
            <w:r>
              <w:rPr>
                <w:rFonts w:hint="eastAsia" w:ascii="宋体" w:hAnsi="宋体" w:eastAsia="宋体" w:cs="Times New Roman"/>
                <w:color w:val="000000"/>
                <w:kern w:val="0"/>
                <w:sz w:val="24"/>
                <w:szCs w:val="24"/>
                <w:lang w:val="en-US" w:eastAsia="zh-CN"/>
              </w:rPr>
              <w:t>22</w:t>
            </w:r>
            <w:r>
              <w:rPr>
                <w:rFonts w:hint="eastAsia" w:ascii="宋体" w:hAnsi="宋体" w:eastAsia="宋体" w:cs="Times New Roman"/>
                <w:color w:val="000000"/>
                <w:kern w:val="0"/>
                <w:sz w:val="24"/>
                <w:szCs w:val="24"/>
              </w:rPr>
              <w:t>年</w:t>
            </w:r>
            <w:r>
              <w:rPr>
                <w:rFonts w:hint="eastAsia" w:ascii="宋体" w:hAnsi="宋体" w:eastAsia="宋体" w:cs="Times New Roman"/>
                <w:color w:val="000000"/>
                <w:kern w:val="0"/>
                <w:sz w:val="24"/>
                <w:szCs w:val="24"/>
                <w:lang w:val="en-US" w:eastAsia="zh-CN"/>
              </w:rPr>
              <w:t>5</w:t>
            </w:r>
            <w:r>
              <w:rPr>
                <w:rFonts w:hint="eastAsia" w:ascii="宋体" w:hAnsi="宋体" w:eastAsia="宋体" w:cs="Times New Roman"/>
                <w:color w:val="000000"/>
                <w:kern w:val="0"/>
                <w:sz w:val="24"/>
                <w:szCs w:val="24"/>
              </w:rPr>
              <w:t>月</w:t>
            </w:r>
          </w:p>
        </w:tc>
        <w:tc>
          <w:tcPr>
            <w:tcW w:w="1827" w:type="dxa"/>
            <w:vAlign w:val="center"/>
          </w:tcPr>
          <w:p w14:paraId="5A8F460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开工建设时间</w:t>
            </w:r>
          </w:p>
        </w:tc>
        <w:tc>
          <w:tcPr>
            <w:tcW w:w="2770" w:type="dxa"/>
            <w:gridSpan w:val="3"/>
            <w:vAlign w:val="center"/>
          </w:tcPr>
          <w:p w14:paraId="19346EAD">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eastAsia="zh-CN"/>
              </w:rPr>
            </w:pPr>
            <w:r>
              <w:rPr>
                <w:rFonts w:hint="eastAsia" w:ascii="宋体" w:hAnsi="宋体" w:eastAsia="宋体" w:cs="Times New Roman"/>
                <w:color w:val="000000"/>
                <w:kern w:val="0"/>
                <w:sz w:val="24"/>
                <w:szCs w:val="24"/>
              </w:rPr>
              <w:t>20</w:t>
            </w:r>
            <w:r>
              <w:rPr>
                <w:rFonts w:hint="eastAsia" w:ascii="宋体" w:hAnsi="宋体" w:eastAsia="宋体" w:cs="Times New Roman"/>
                <w:color w:val="000000"/>
                <w:kern w:val="0"/>
                <w:sz w:val="24"/>
                <w:szCs w:val="24"/>
                <w:lang w:val="en-US" w:eastAsia="zh-CN"/>
              </w:rPr>
              <w:t>24</w:t>
            </w:r>
            <w:r>
              <w:rPr>
                <w:rFonts w:hint="eastAsia" w:ascii="宋体" w:hAnsi="宋体" w:eastAsia="宋体" w:cs="Times New Roman"/>
                <w:color w:val="000000"/>
                <w:kern w:val="0"/>
                <w:sz w:val="24"/>
                <w:szCs w:val="24"/>
              </w:rPr>
              <w:t>年</w:t>
            </w:r>
            <w:r>
              <w:rPr>
                <w:rFonts w:hint="eastAsia" w:ascii="宋体" w:hAnsi="宋体" w:eastAsia="宋体" w:cs="Times New Roman"/>
                <w:color w:val="000000"/>
                <w:kern w:val="0"/>
                <w:sz w:val="24"/>
                <w:szCs w:val="24"/>
                <w:lang w:val="en-US" w:eastAsia="zh-CN"/>
              </w:rPr>
              <w:t>7</w:t>
            </w:r>
            <w:r>
              <w:rPr>
                <w:rFonts w:hint="eastAsia" w:ascii="宋体" w:hAnsi="宋体" w:eastAsia="宋体" w:cs="Times New Roman"/>
                <w:color w:val="000000"/>
                <w:kern w:val="0"/>
                <w:sz w:val="24"/>
                <w:szCs w:val="24"/>
              </w:rPr>
              <w:t>月</w:t>
            </w:r>
          </w:p>
        </w:tc>
      </w:tr>
      <w:tr w14:paraId="448C8E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07" w:type="dxa"/>
            <w:gridSpan w:val="2"/>
            <w:vAlign w:val="center"/>
          </w:tcPr>
          <w:p w14:paraId="0C9739C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调试</w:t>
            </w:r>
            <w:r>
              <w:rPr>
                <w:rFonts w:hint="default" w:ascii="宋体" w:hAnsi="宋体" w:eastAsia="宋体" w:cs="Times New Roman"/>
                <w:color w:val="000000"/>
                <w:kern w:val="0"/>
                <w:sz w:val="24"/>
                <w:szCs w:val="24"/>
              </w:rPr>
              <w:t>时间</w:t>
            </w:r>
          </w:p>
        </w:tc>
        <w:tc>
          <w:tcPr>
            <w:tcW w:w="2020" w:type="dxa"/>
            <w:vAlign w:val="center"/>
          </w:tcPr>
          <w:p w14:paraId="7B40D4A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eastAsia="zh-CN"/>
              </w:rPr>
            </w:pPr>
            <w:r>
              <w:rPr>
                <w:rFonts w:hint="eastAsia" w:ascii="宋体" w:hAnsi="宋体" w:eastAsia="宋体" w:cs="Times New Roman"/>
                <w:color w:val="000000"/>
                <w:kern w:val="0"/>
                <w:sz w:val="24"/>
                <w:szCs w:val="24"/>
                <w:lang w:val="en-US" w:eastAsia="zh-CN"/>
              </w:rPr>
              <w:t>2025年11月</w:t>
            </w:r>
          </w:p>
        </w:tc>
        <w:tc>
          <w:tcPr>
            <w:tcW w:w="1827" w:type="dxa"/>
            <w:vAlign w:val="center"/>
          </w:tcPr>
          <w:p w14:paraId="7564BCE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验收</w:t>
            </w:r>
            <w:r>
              <w:rPr>
                <w:rFonts w:hint="default" w:ascii="宋体" w:hAnsi="宋体" w:eastAsia="宋体" w:cs="Times New Roman"/>
                <w:color w:val="000000"/>
                <w:kern w:val="0"/>
                <w:sz w:val="24"/>
                <w:szCs w:val="24"/>
              </w:rPr>
              <w:t>现场监测时间</w:t>
            </w:r>
          </w:p>
        </w:tc>
        <w:tc>
          <w:tcPr>
            <w:tcW w:w="2770" w:type="dxa"/>
            <w:gridSpan w:val="3"/>
            <w:vAlign w:val="center"/>
          </w:tcPr>
          <w:p w14:paraId="4B1BD04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eastAsia="zh-CN"/>
              </w:rPr>
            </w:pPr>
            <w:r>
              <w:rPr>
                <w:rFonts w:hint="eastAsia" w:ascii="宋体" w:hAnsi="宋体" w:eastAsia="宋体" w:cs="Times New Roman"/>
                <w:color w:val="000000"/>
                <w:kern w:val="0"/>
                <w:sz w:val="24"/>
                <w:szCs w:val="24"/>
                <w:highlight w:val="none"/>
                <w:lang w:val="en-US" w:eastAsia="zh-CN"/>
              </w:rPr>
              <w:t>2025.12.22-12.25、2026.2.3-2.4</w:t>
            </w:r>
          </w:p>
        </w:tc>
      </w:tr>
      <w:tr w14:paraId="5A8D78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794" w:hRule="atLeast"/>
          <w:jc w:val="center"/>
        </w:trPr>
        <w:tc>
          <w:tcPr>
            <w:tcW w:w="2307" w:type="dxa"/>
            <w:gridSpan w:val="2"/>
            <w:vAlign w:val="center"/>
          </w:tcPr>
          <w:p w14:paraId="252ED630">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环评报告表</w:t>
            </w:r>
          </w:p>
          <w:p w14:paraId="719DFA2D">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审批部门</w:t>
            </w:r>
          </w:p>
        </w:tc>
        <w:tc>
          <w:tcPr>
            <w:tcW w:w="2020" w:type="dxa"/>
            <w:vAlign w:val="center"/>
          </w:tcPr>
          <w:p w14:paraId="49A0B7A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eastAsia" w:ascii="宋体" w:hAnsi="宋体" w:eastAsia="宋体" w:cs="Times New Roman"/>
                <w:color w:val="000000"/>
                <w:kern w:val="0"/>
                <w:sz w:val="24"/>
                <w:szCs w:val="24"/>
                <w:lang w:eastAsia="zh-CN"/>
              </w:rPr>
            </w:pPr>
            <w:r>
              <w:rPr>
                <w:rFonts w:hint="eastAsia"/>
                <w:lang w:eastAsia="zh-CN"/>
              </w:rPr>
              <w:t>安庆</w:t>
            </w:r>
            <w:r>
              <w:rPr>
                <w:rFonts w:hint="eastAsia"/>
                <w:lang w:val="en-US" w:eastAsia="zh-CN"/>
              </w:rPr>
              <w:t>市大观区生态环境分</w:t>
            </w:r>
            <w:r>
              <w:rPr>
                <w:rFonts w:hint="eastAsia"/>
                <w:lang w:eastAsia="zh-CN"/>
              </w:rPr>
              <w:t>局</w:t>
            </w:r>
          </w:p>
        </w:tc>
        <w:tc>
          <w:tcPr>
            <w:tcW w:w="1827" w:type="dxa"/>
            <w:vAlign w:val="center"/>
          </w:tcPr>
          <w:p w14:paraId="02E4041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环评报告表</w:t>
            </w:r>
          </w:p>
          <w:p w14:paraId="2E02ACF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编制单位</w:t>
            </w:r>
          </w:p>
        </w:tc>
        <w:tc>
          <w:tcPr>
            <w:tcW w:w="2770" w:type="dxa"/>
            <w:gridSpan w:val="3"/>
            <w:vAlign w:val="center"/>
          </w:tcPr>
          <w:p w14:paraId="7A22D34C">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eastAsia" w:ascii="宋体" w:hAnsi="宋体" w:eastAsia="宋体" w:cs="Times New Roman"/>
                <w:color w:val="000000"/>
                <w:kern w:val="0"/>
                <w:sz w:val="24"/>
                <w:szCs w:val="24"/>
                <w:lang w:eastAsia="zh-CN"/>
              </w:rPr>
            </w:pPr>
            <w:r>
              <w:rPr>
                <w:rFonts w:hint="eastAsia" w:ascii="宋体" w:hAnsi="宋体" w:eastAsia="宋体" w:cs="Times New Roman"/>
                <w:color w:val="000000"/>
                <w:kern w:val="0"/>
                <w:sz w:val="24"/>
                <w:szCs w:val="24"/>
              </w:rPr>
              <w:t>安徽</w:t>
            </w:r>
            <w:r>
              <w:rPr>
                <w:rFonts w:hint="eastAsia" w:ascii="宋体" w:hAnsi="宋体" w:eastAsia="宋体" w:cs="Times New Roman"/>
                <w:color w:val="000000"/>
                <w:kern w:val="0"/>
                <w:sz w:val="24"/>
                <w:szCs w:val="24"/>
                <w:lang w:eastAsia="zh-CN"/>
              </w:rPr>
              <w:t>凯格环保工程</w:t>
            </w:r>
          </w:p>
          <w:p w14:paraId="7FF25EA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有限公司</w:t>
            </w:r>
          </w:p>
        </w:tc>
      </w:tr>
      <w:tr w14:paraId="00CC65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07" w:type="dxa"/>
            <w:gridSpan w:val="2"/>
            <w:vAlign w:val="center"/>
          </w:tcPr>
          <w:p w14:paraId="3EFF984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环保设施设计单位</w:t>
            </w:r>
          </w:p>
        </w:tc>
        <w:tc>
          <w:tcPr>
            <w:tcW w:w="2020" w:type="dxa"/>
            <w:vAlign w:val="center"/>
          </w:tcPr>
          <w:p w14:paraId="68BB0409">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eastAsia" w:ascii="宋体" w:hAnsi="宋体" w:eastAsia="宋体" w:cs="Times New Roman"/>
                <w:color w:val="000000"/>
                <w:kern w:val="0"/>
                <w:sz w:val="24"/>
                <w:szCs w:val="24"/>
                <w:lang w:eastAsia="zh-CN"/>
              </w:rPr>
            </w:pPr>
            <w:r>
              <w:rPr>
                <w:rFonts w:hint="eastAsia" w:ascii="Times New Roman" w:hAnsi="Times New Roman" w:eastAsia="宋体" w:cs="Times New Roman"/>
                <w:kern w:val="2"/>
                <w:sz w:val="24"/>
                <w:szCs w:val="24"/>
                <w:lang w:val="en-US" w:eastAsia="zh-CN" w:bidi="ar"/>
              </w:rPr>
              <w:t>安庆帝伯格茨活塞环有限公司</w:t>
            </w:r>
          </w:p>
        </w:tc>
        <w:tc>
          <w:tcPr>
            <w:tcW w:w="1827" w:type="dxa"/>
            <w:vAlign w:val="center"/>
          </w:tcPr>
          <w:p w14:paraId="4DD53C2E">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环保设施施工单位</w:t>
            </w:r>
          </w:p>
        </w:tc>
        <w:tc>
          <w:tcPr>
            <w:tcW w:w="2770" w:type="dxa"/>
            <w:gridSpan w:val="3"/>
            <w:vAlign w:val="center"/>
          </w:tcPr>
          <w:p w14:paraId="055D1D1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lang w:val="en-US" w:eastAsia="zh-CN"/>
              </w:rPr>
              <w:t>/</w:t>
            </w:r>
          </w:p>
        </w:tc>
      </w:tr>
      <w:tr w14:paraId="20EA19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07" w:type="dxa"/>
            <w:gridSpan w:val="2"/>
            <w:vAlign w:val="center"/>
          </w:tcPr>
          <w:p w14:paraId="5246E2B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投资总概算</w:t>
            </w:r>
          </w:p>
        </w:tc>
        <w:tc>
          <w:tcPr>
            <w:tcW w:w="2020" w:type="dxa"/>
            <w:vAlign w:val="center"/>
          </w:tcPr>
          <w:p w14:paraId="0305D15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rPr>
            </w:pPr>
            <w:r>
              <w:rPr>
                <w:rFonts w:hint="eastAsia" w:ascii="Times New Roman" w:hAnsi="Times New Roman" w:eastAsia="宋体" w:cs="Times New Roman"/>
                <w:sz w:val="24"/>
                <w:szCs w:val="20"/>
                <w:lang w:val="en-US" w:eastAsia="zh-CN" w:bidi="ar"/>
              </w:rPr>
              <w:t>2000</w:t>
            </w:r>
          </w:p>
        </w:tc>
        <w:tc>
          <w:tcPr>
            <w:tcW w:w="1827" w:type="dxa"/>
            <w:vAlign w:val="center"/>
          </w:tcPr>
          <w:p w14:paraId="66A28AAE">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环保投资</w:t>
            </w:r>
          </w:p>
        </w:tc>
        <w:tc>
          <w:tcPr>
            <w:tcW w:w="970" w:type="dxa"/>
            <w:vAlign w:val="center"/>
          </w:tcPr>
          <w:p w14:paraId="205C463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rPr>
            </w:pPr>
            <w:r>
              <w:rPr>
                <w:rFonts w:hint="eastAsia" w:ascii="Times New Roman" w:hAnsi="Times New Roman" w:eastAsia="宋体" w:cs="Times New Roman"/>
                <w:kern w:val="2"/>
                <w:sz w:val="24"/>
                <w:szCs w:val="24"/>
                <w:lang w:val="en-US" w:eastAsia="zh-CN" w:bidi="ar"/>
              </w:rPr>
              <w:t>53</w:t>
            </w:r>
          </w:p>
        </w:tc>
        <w:tc>
          <w:tcPr>
            <w:tcW w:w="765" w:type="dxa"/>
            <w:vAlign w:val="center"/>
          </w:tcPr>
          <w:p w14:paraId="7E1FB1D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比例</w:t>
            </w:r>
          </w:p>
        </w:tc>
        <w:tc>
          <w:tcPr>
            <w:tcW w:w="1035" w:type="dxa"/>
            <w:vAlign w:val="center"/>
          </w:tcPr>
          <w:p w14:paraId="06E74E6D">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lang w:val="en-US" w:eastAsia="zh-CN"/>
              </w:rPr>
              <w:t>2.65</w:t>
            </w:r>
            <w:r>
              <w:rPr>
                <w:rFonts w:hint="eastAsia" w:ascii="宋体" w:hAnsi="宋体" w:eastAsia="宋体" w:cs="Times New Roman"/>
                <w:color w:val="000000"/>
                <w:kern w:val="0"/>
                <w:sz w:val="24"/>
                <w:szCs w:val="24"/>
              </w:rPr>
              <w:t>%</w:t>
            </w:r>
          </w:p>
        </w:tc>
      </w:tr>
      <w:tr w14:paraId="413B00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2307" w:type="dxa"/>
            <w:gridSpan w:val="2"/>
            <w:vAlign w:val="center"/>
          </w:tcPr>
          <w:p w14:paraId="7DF0994E">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实际总概算</w:t>
            </w:r>
          </w:p>
        </w:tc>
        <w:tc>
          <w:tcPr>
            <w:tcW w:w="2020" w:type="dxa"/>
            <w:vAlign w:val="center"/>
          </w:tcPr>
          <w:p w14:paraId="39FDEDD7">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rPr>
            </w:pPr>
            <w:r>
              <w:rPr>
                <w:rFonts w:hint="eastAsia" w:ascii="Times New Roman" w:hAnsi="Times New Roman" w:eastAsia="宋体" w:cs="Times New Roman"/>
                <w:sz w:val="24"/>
                <w:szCs w:val="20"/>
                <w:lang w:val="en-US" w:eastAsia="zh-CN" w:bidi="ar"/>
              </w:rPr>
              <w:t>2000</w:t>
            </w:r>
          </w:p>
        </w:tc>
        <w:tc>
          <w:tcPr>
            <w:tcW w:w="1827" w:type="dxa"/>
            <w:vAlign w:val="center"/>
          </w:tcPr>
          <w:p w14:paraId="69F93019">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环保投资</w:t>
            </w:r>
          </w:p>
        </w:tc>
        <w:tc>
          <w:tcPr>
            <w:tcW w:w="970" w:type="dxa"/>
            <w:vAlign w:val="center"/>
          </w:tcPr>
          <w:p w14:paraId="6046644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lang w:val="en-US"/>
              </w:rPr>
            </w:pPr>
            <w:r>
              <w:rPr>
                <w:rFonts w:hint="eastAsia" w:ascii="Times New Roman" w:hAnsi="Times New Roman" w:eastAsia="宋体" w:cs="Times New Roman"/>
                <w:kern w:val="2"/>
                <w:sz w:val="24"/>
                <w:szCs w:val="24"/>
                <w:lang w:val="en-US" w:eastAsia="zh-CN" w:bidi="ar"/>
              </w:rPr>
              <w:t>53</w:t>
            </w:r>
          </w:p>
        </w:tc>
        <w:tc>
          <w:tcPr>
            <w:tcW w:w="765" w:type="dxa"/>
            <w:vAlign w:val="center"/>
          </w:tcPr>
          <w:p w14:paraId="5BC5FA3D">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比例</w:t>
            </w:r>
          </w:p>
        </w:tc>
        <w:tc>
          <w:tcPr>
            <w:tcW w:w="1035" w:type="dxa"/>
            <w:vAlign w:val="center"/>
          </w:tcPr>
          <w:p w14:paraId="66993C6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lang w:val="en-US" w:eastAsia="zh-CN"/>
              </w:rPr>
              <w:t>2.65</w:t>
            </w:r>
            <w:r>
              <w:rPr>
                <w:rFonts w:hint="eastAsia" w:ascii="宋体" w:hAnsi="宋体" w:eastAsia="宋体" w:cs="Times New Roman"/>
                <w:color w:val="000000"/>
                <w:kern w:val="0"/>
                <w:sz w:val="24"/>
                <w:szCs w:val="24"/>
              </w:rPr>
              <w:t>%</w:t>
            </w:r>
          </w:p>
        </w:tc>
      </w:tr>
      <w:tr w14:paraId="2097BF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0" w:hRule="atLeast"/>
          <w:jc w:val="center"/>
        </w:trPr>
        <w:tc>
          <w:tcPr>
            <w:tcW w:w="1302" w:type="dxa"/>
            <w:vAlign w:val="center"/>
          </w:tcPr>
          <w:p w14:paraId="6DA5F97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验收监测依据</w:t>
            </w:r>
          </w:p>
        </w:tc>
        <w:tc>
          <w:tcPr>
            <w:tcW w:w="7622" w:type="dxa"/>
            <w:gridSpan w:val="6"/>
            <w:vAlign w:val="center"/>
          </w:tcPr>
          <w:p w14:paraId="0A1DDB88">
            <w:pPr>
              <w:keepNext w:val="0"/>
              <w:keepLines w:val="0"/>
              <w:suppressLineNumbers w:val="0"/>
              <w:bidi w:val="0"/>
              <w:spacing w:before="0" w:beforeAutospacing="0" w:after="0" w:afterAutospacing="0"/>
              <w:ind w:left="0" w:right="0"/>
              <w:rPr>
                <w:rFonts w:hint="default"/>
                <w:lang w:val="en-US"/>
              </w:rPr>
            </w:pPr>
            <w:r>
              <w:rPr>
                <w:rFonts w:hint="eastAsia"/>
              </w:rPr>
              <w:t>1、</w:t>
            </w:r>
            <w:r>
              <w:rPr>
                <w:rFonts w:hint="eastAsia"/>
                <w:lang w:val="en-US" w:eastAsia="zh-CN"/>
              </w:rPr>
              <w:t>《中华人民共和国水污染防治法》，第十二届全国人民代表大会常务委员会第二十八次会议于</w:t>
            </w:r>
            <w:r>
              <w:rPr>
                <w:rFonts w:hint="default"/>
                <w:lang w:val="en-US" w:eastAsia="zh-CN"/>
              </w:rPr>
              <w:t>2017</w:t>
            </w:r>
            <w:r>
              <w:rPr>
                <w:rFonts w:hint="eastAsia"/>
                <w:lang w:val="en-US" w:eastAsia="zh-CN"/>
              </w:rPr>
              <w:t>年</w:t>
            </w:r>
            <w:r>
              <w:rPr>
                <w:rFonts w:hint="default"/>
                <w:lang w:val="en-US" w:eastAsia="zh-CN"/>
              </w:rPr>
              <w:t>6</w:t>
            </w:r>
            <w:r>
              <w:rPr>
                <w:rFonts w:hint="eastAsia"/>
                <w:lang w:val="en-US" w:eastAsia="zh-CN"/>
              </w:rPr>
              <w:t>月</w:t>
            </w:r>
            <w:r>
              <w:rPr>
                <w:rFonts w:hint="default"/>
                <w:lang w:val="en-US" w:eastAsia="zh-CN"/>
              </w:rPr>
              <w:t>27</w:t>
            </w:r>
            <w:r>
              <w:rPr>
                <w:rFonts w:hint="eastAsia"/>
                <w:lang w:val="en-US" w:eastAsia="zh-CN"/>
              </w:rPr>
              <w:t>日修正，2018年1月1日起施行；</w:t>
            </w:r>
          </w:p>
          <w:p w14:paraId="79545023">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2、《中华人民共和国大气污染防治法》，第十三届全国人民代表大会常务委员会第六次会议修正，</w:t>
            </w:r>
            <w:r>
              <w:rPr>
                <w:rFonts w:hint="default"/>
                <w:lang w:val="en-US" w:eastAsia="zh-CN"/>
              </w:rPr>
              <w:t>2018</w:t>
            </w:r>
            <w:r>
              <w:rPr>
                <w:rFonts w:hint="eastAsia"/>
                <w:lang w:val="en-US" w:eastAsia="zh-CN"/>
              </w:rPr>
              <w:t>年</w:t>
            </w:r>
            <w:r>
              <w:rPr>
                <w:rFonts w:hint="default"/>
                <w:lang w:val="en-US" w:eastAsia="zh-CN"/>
              </w:rPr>
              <w:t>10</w:t>
            </w:r>
            <w:r>
              <w:rPr>
                <w:rFonts w:hint="eastAsia"/>
                <w:lang w:val="en-US" w:eastAsia="zh-CN"/>
              </w:rPr>
              <w:t>月</w:t>
            </w:r>
            <w:r>
              <w:rPr>
                <w:rFonts w:hint="default"/>
                <w:lang w:val="en-US" w:eastAsia="zh-CN"/>
              </w:rPr>
              <w:t>26</w:t>
            </w:r>
            <w:r>
              <w:rPr>
                <w:rFonts w:hint="eastAsia"/>
                <w:lang w:val="en-US" w:eastAsia="zh-CN"/>
              </w:rPr>
              <w:t>日起施行；</w:t>
            </w:r>
          </w:p>
          <w:p w14:paraId="5857DA5E">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3、《中华人民共和国噪声污染防治法》，2021年12月24日，中华人民共和国第十三届全国人民代表大会常务委员会第三十二次会议通过，自2022年6月5日起施行；</w:t>
            </w:r>
          </w:p>
          <w:p w14:paraId="76B84BF9">
            <w:pPr>
              <w:keepNext w:val="0"/>
              <w:keepLines w:val="0"/>
              <w:suppressLineNumbers w:val="0"/>
              <w:bidi w:val="0"/>
              <w:spacing w:before="0" w:beforeAutospacing="0" w:after="0" w:afterAutospacing="0"/>
              <w:ind w:left="0" w:right="0"/>
              <w:rPr>
                <w:rFonts w:hint="eastAsia"/>
              </w:rPr>
            </w:pPr>
            <w:r>
              <w:rPr>
                <w:rFonts w:hint="eastAsia"/>
                <w:lang w:val="en-US" w:eastAsia="zh-CN"/>
              </w:rPr>
              <w:t>4、《中华人民共和国固体废物污染环境防治法》，第十三届全国人民代表大会常务委员会第十七次会议于2020年4月29日修订通过，自2020年9月1日起施行；</w:t>
            </w:r>
          </w:p>
          <w:p w14:paraId="1B4264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rPr>
            </w:pPr>
            <w:r>
              <w:rPr>
                <w:rFonts w:hint="eastAsia"/>
                <w:lang w:val="en-US" w:eastAsia="zh-CN"/>
              </w:rPr>
              <w:t>5、</w:t>
            </w:r>
            <w:r>
              <w:rPr>
                <w:rFonts w:hint="eastAsia"/>
              </w:rPr>
              <w:t>国务院第682 号令《建设项目环境保护管理条例》（2017年修订）。</w:t>
            </w:r>
          </w:p>
          <w:p w14:paraId="2A22D6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s="Times New Roman"/>
              </w:rPr>
            </w:pPr>
            <w:r>
              <w:rPr>
                <w:rFonts w:hint="eastAsia"/>
                <w:lang w:val="en-US" w:eastAsia="zh-CN"/>
              </w:rPr>
              <w:t>6</w:t>
            </w:r>
            <w:r>
              <w:rPr>
                <w:rFonts w:hint="eastAsia"/>
              </w:rPr>
              <w:t>、国环规环评〔2017〕4号关于发布《建设项目竣工环境保护验收暂行办法</w:t>
            </w:r>
            <w:r>
              <w:rPr>
                <w:rFonts w:hint="default" w:ascii="Times New Roman" w:hAnsi="Times New Roman" w:cs="Times New Roman"/>
              </w:rPr>
              <w:t>》的公告。</w:t>
            </w:r>
          </w:p>
          <w:p w14:paraId="59DA0F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s="Times New Roman"/>
              </w:rPr>
            </w:pPr>
            <w:r>
              <w:rPr>
                <w:rFonts w:hint="default" w:ascii="Times New Roman" w:hAnsi="Times New Roman" w:cs="Times New Roman"/>
                <w:lang w:val="en-US" w:eastAsia="zh-CN"/>
              </w:rPr>
              <w:t>7</w:t>
            </w:r>
            <w:r>
              <w:rPr>
                <w:rFonts w:hint="default" w:ascii="Times New Roman" w:hAnsi="Times New Roman" w:cs="Times New Roman"/>
              </w:rPr>
              <w:t>、《建设项目竣工环境保护验收技术指南 污染影响类》（生态环境部公告〔2018〕9 号）</w:t>
            </w:r>
          </w:p>
          <w:p w14:paraId="5132E3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cs="Times New Roman" w:eastAsiaTheme="minorEastAsia"/>
                <w:lang w:val="en-US" w:eastAsia="zh-CN"/>
              </w:rPr>
            </w:pPr>
            <w:r>
              <w:rPr>
                <w:rFonts w:hint="default" w:ascii="Times New Roman" w:hAnsi="Times New Roman" w:cs="Times New Roman"/>
                <w:lang w:val="en-US" w:eastAsia="zh-CN"/>
              </w:rPr>
              <w:t>8</w:t>
            </w:r>
            <w:r>
              <w:rPr>
                <w:rFonts w:hint="default" w:ascii="Times New Roman" w:hAnsi="Times New Roman" w:cs="Times New Roman"/>
              </w:rPr>
              <w:t>、安徽</w:t>
            </w:r>
            <w:r>
              <w:rPr>
                <w:rFonts w:hint="default" w:ascii="Times New Roman" w:hAnsi="Times New Roman" w:cs="Times New Roman"/>
                <w:lang w:eastAsia="zh-CN"/>
              </w:rPr>
              <w:t>凯格环保工程</w:t>
            </w:r>
            <w:r>
              <w:rPr>
                <w:rFonts w:hint="default" w:ascii="Times New Roman" w:hAnsi="Times New Roman" w:cs="Times New Roman"/>
              </w:rPr>
              <w:t>有限公司编制的《</w:t>
            </w:r>
            <w:r>
              <w:rPr>
                <w:rFonts w:hint="eastAsia" w:ascii="Times New Roman" w:hAnsi="Times New Roman" w:eastAsia="宋体" w:cs="Times New Roman"/>
                <w:kern w:val="2"/>
                <w:sz w:val="24"/>
                <w:szCs w:val="24"/>
                <w:lang w:val="en-US" w:eastAsia="zh-CN" w:bidi="ar"/>
              </w:rPr>
              <w:t>安庆帝伯格茨活塞环有限公司</w:t>
            </w:r>
            <w:r>
              <w:rPr>
                <w:rFonts w:hint="default" w:ascii="Times New Roman" w:hAnsi="Times New Roman" w:cs="Times New Roman"/>
                <w:szCs w:val="21"/>
                <w:lang w:eastAsia="zh-CN"/>
              </w:rPr>
              <w:t>端面密封件生产线提升与智能化</w:t>
            </w:r>
            <w:r>
              <w:rPr>
                <w:rFonts w:hint="default" w:ascii="Times New Roman" w:hAnsi="Times New Roman" w:cs="Times New Roman"/>
                <w:szCs w:val="21"/>
              </w:rPr>
              <w:t>改造项目</w:t>
            </w:r>
            <w:r>
              <w:rPr>
                <w:rFonts w:hint="default" w:ascii="Times New Roman" w:hAnsi="Times New Roman" w:cs="Times New Roman"/>
              </w:rPr>
              <w:t>环境影响报告表》，20</w:t>
            </w:r>
            <w:r>
              <w:rPr>
                <w:rFonts w:hint="default" w:ascii="Times New Roman" w:hAnsi="Times New Roman" w:cs="Times New Roman"/>
                <w:lang w:val="en-US" w:eastAsia="zh-CN"/>
              </w:rPr>
              <w:t>2</w:t>
            </w:r>
            <w:r>
              <w:rPr>
                <w:rFonts w:hint="eastAsia" w:cs="Times New Roman"/>
                <w:lang w:val="en-US" w:eastAsia="zh-CN"/>
              </w:rPr>
              <w:t>2</w:t>
            </w:r>
            <w:r>
              <w:rPr>
                <w:rFonts w:hint="default" w:ascii="Times New Roman" w:hAnsi="Times New Roman" w:cs="Times New Roman"/>
              </w:rPr>
              <w:t>年</w:t>
            </w:r>
            <w:r>
              <w:rPr>
                <w:rFonts w:hint="eastAsia" w:cs="Times New Roman"/>
                <w:lang w:val="en-US" w:eastAsia="zh-CN"/>
              </w:rPr>
              <w:t>5</w:t>
            </w:r>
            <w:r>
              <w:rPr>
                <w:rFonts w:hint="default" w:ascii="Times New Roman" w:hAnsi="Times New Roman" w:cs="Times New Roman"/>
              </w:rPr>
              <w:t>月。</w:t>
            </w:r>
          </w:p>
          <w:p w14:paraId="3C39DE4A">
            <w:pPr>
              <w:keepNext w:val="0"/>
              <w:keepLines w:val="0"/>
              <w:suppressLineNumbers w:val="0"/>
              <w:bidi w:val="0"/>
              <w:spacing w:before="0" w:beforeAutospacing="0" w:after="0" w:afterAutospacing="0"/>
              <w:ind w:left="0" w:right="0"/>
              <w:rPr>
                <w:rFonts w:hint="eastAsia" w:ascii="宋体" w:hAnsi="宋体" w:eastAsia="宋体" w:cs="Times New Roman"/>
                <w:color w:val="000000"/>
                <w:kern w:val="0"/>
                <w:szCs w:val="24"/>
                <w:lang w:eastAsia="zh-CN"/>
              </w:rPr>
            </w:pPr>
            <w:r>
              <w:rPr>
                <w:rFonts w:hint="default" w:ascii="Times New Roman" w:hAnsi="Times New Roman" w:cs="Times New Roman"/>
                <w:lang w:val="en-US" w:eastAsia="zh-CN"/>
              </w:rPr>
              <w:t>9、</w:t>
            </w:r>
            <w:r>
              <w:rPr>
                <w:rFonts w:hint="default" w:ascii="Times New Roman" w:hAnsi="Times New Roman" w:cs="Times New Roman"/>
                <w:lang w:eastAsia="zh-CN"/>
              </w:rPr>
              <w:t>安庆</w:t>
            </w:r>
            <w:r>
              <w:rPr>
                <w:rFonts w:hint="default" w:ascii="Times New Roman" w:hAnsi="Times New Roman" w:cs="Times New Roman"/>
                <w:lang w:val="en-US" w:eastAsia="zh-CN"/>
              </w:rPr>
              <w:t>市大观区生态环境分</w:t>
            </w:r>
            <w:r>
              <w:rPr>
                <w:rFonts w:hint="default" w:ascii="Times New Roman" w:hAnsi="Times New Roman" w:cs="Times New Roman"/>
                <w:lang w:eastAsia="zh-CN"/>
              </w:rPr>
              <w:t>局</w:t>
            </w:r>
            <w:r>
              <w:rPr>
                <w:rFonts w:hint="default" w:ascii="Times New Roman" w:hAnsi="Times New Roman" w:cs="Times New Roman"/>
                <w:lang w:val="en-US" w:eastAsia="zh-CN"/>
              </w:rPr>
              <w:t>《关于安庆帝伯格茨活塞环有限公司端面密封件生产线提升与智能化改造项目环境影响报告表审查意见的函</w:t>
            </w:r>
            <w:r>
              <w:rPr>
                <w:rFonts w:hint="default" w:ascii="Times New Roman" w:hAnsi="Times New Roman" w:cs="Times New Roman"/>
              </w:rPr>
              <w:t>》</w:t>
            </w:r>
            <w:r>
              <w:rPr>
                <w:rFonts w:hint="default" w:ascii="Times New Roman" w:hAnsi="Times New Roman" w:cs="Times New Roman"/>
                <w:lang w:eastAsia="zh-CN"/>
              </w:rPr>
              <w:t>（观环建函</w:t>
            </w:r>
            <w:r>
              <w:rPr>
                <w:rFonts w:hint="default" w:ascii="Times New Roman" w:hAnsi="Times New Roman" w:eastAsia="微软雅黑" w:cs="Times New Roman"/>
                <w:lang w:eastAsia="zh-CN"/>
              </w:rPr>
              <w:t>〔</w:t>
            </w:r>
            <w:r>
              <w:rPr>
                <w:rFonts w:hint="default" w:ascii="Times New Roman" w:hAnsi="Times New Roman" w:cs="Times New Roman"/>
                <w:lang w:eastAsia="zh-CN"/>
              </w:rPr>
              <w:t>202</w:t>
            </w:r>
            <w:r>
              <w:rPr>
                <w:rFonts w:hint="eastAsia" w:cs="Times New Roman"/>
                <w:lang w:val="en-US" w:eastAsia="zh-CN"/>
              </w:rPr>
              <w:t>2</w:t>
            </w:r>
            <w:r>
              <w:rPr>
                <w:rFonts w:hint="default" w:ascii="Times New Roman" w:hAnsi="Times New Roman" w:eastAsia="微软雅黑" w:cs="Times New Roman"/>
                <w:lang w:eastAsia="zh-CN"/>
              </w:rPr>
              <w:t>〕</w:t>
            </w:r>
            <w:r>
              <w:rPr>
                <w:rFonts w:hint="eastAsia" w:cs="Times New Roman"/>
                <w:lang w:val="en-US" w:eastAsia="zh-CN"/>
              </w:rPr>
              <w:t>3</w:t>
            </w:r>
            <w:r>
              <w:rPr>
                <w:rFonts w:hint="default" w:ascii="Times New Roman" w:hAnsi="Times New Roman" w:cs="Times New Roman"/>
                <w:lang w:eastAsia="zh-CN"/>
              </w:rPr>
              <w:t>号）</w:t>
            </w:r>
            <w:r>
              <w:rPr>
                <w:rFonts w:hint="default" w:ascii="Times New Roman" w:hAnsi="Times New Roman" w:cs="Times New Roman"/>
              </w:rPr>
              <w:t>，20</w:t>
            </w:r>
            <w:r>
              <w:rPr>
                <w:rFonts w:hint="default" w:ascii="Times New Roman" w:hAnsi="Times New Roman" w:cs="Times New Roman"/>
                <w:lang w:val="en-US" w:eastAsia="zh-CN"/>
              </w:rPr>
              <w:t>2</w:t>
            </w:r>
            <w:r>
              <w:rPr>
                <w:rFonts w:hint="eastAsia" w:cs="Times New Roman"/>
                <w:lang w:val="en-US" w:eastAsia="zh-CN"/>
              </w:rPr>
              <w:t>2</w:t>
            </w:r>
            <w:r>
              <w:rPr>
                <w:rFonts w:hint="default" w:ascii="Times New Roman" w:hAnsi="Times New Roman" w:cs="Times New Roman"/>
              </w:rPr>
              <w:t>年</w:t>
            </w:r>
            <w:r>
              <w:rPr>
                <w:rFonts w:hint="eastAsia" w:cs="Times New Roman"/>
                <w:lang w:val="en-US" w:eastAsia="zh-CN"/>
              </w:rPr>
              <w:t>6</w:t>
            </w:r>
            <w:r>
              <w:rPr>
                <w:rFonts w:hint="default" w:ascii="Times New Roman" w:hAnsi="Times New Roman" w:cs="Times New Roman"/>
              </w:rPr>
              <w:t>月</w:t>
            </w:r>
            <w:r>
              <w:rPr>
                <w:rFonts w:hint="eastAsia" w:ascii="Times New Roman" w:hAnsi="Times New Roman" w:cs="Times New Roman"/>
                <w:lang w:val="en-US" w:eastAsia="zh-CN"/>
              </w:rPr>
              <w:t>6</w:t>
            </w:r>
            <w:r>
              <w:rPr>
                <w:rFonts w:hint="default" w:ascii="Times New Roman" w:hAnsi="Times New Roman" w:cs="Times New Roman"/>
              </w:rPr>
              <w:t>日</w:t>
            </w:r>
            <w:r>
              <w:rPr>
                <w:rFonts w:hint="default" w:ascii="Times New Roman" w:hAnsi="Times New Roman" w:cs="Times New Roman"/>
                <w:lang w:eastAsia="zh-CN"/>
              </w:rPr>
              <w:t>。</w:t>
            </w:r>
          </w:p>
        </w:tc>
      </w:tr>
      <w:tr w14:paraId="49C4C6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302" w:type="dxa"/>
            <w:vAlign w:val="center"/>
          </w:tcPr>
          <w:p w14:paraId="1A1C090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验收监测评价标准、标号、级别、限值</w:t>
            </w:r>
          </w:p>
        </w:tc>
        <w:tc>
          <w:tcPr>
            <w:tcW w:w="7622" w:type="dxa"/>
            <w:gridSpan w:val="6"/>
            <w:vAlign w:val="top"/>
          </w:tcPr>
          <w:p w14:paraId="68602128">
            <w:pPr>
              <w:pStyle w:val="3"/>
              <w:suppressLineNumbers w:val="0"/>
              <w:bidi w:val="0"/>
              <w:spacing w:before="0" w:beforeAutospacing="0" w:after="0" w:afterAutospacing="0"/>
              <w:ind w:left="0" w:right="0"/>
              <w:rPr>
                <w:rFonts w:hint="default"/>
              </w:rPr>
            </w:pPr>
            <w:r>
              <w:rPr>
                <w:rFonts w:hint="eastAsia"/>
              </w:rPr>
              <w:t>1.</w:t>
            </w:r>
            <w:r>
              <w:rPr>
                <w:rFonts w:hint="default"/>
              </w:rPr>
              <w:t>1</w:t>
            </w:r>
            <w:r>
              <w:rPr>
                <w:rFonts w:hint="eastAsia"/>
              </w:rPr>
              <w:t xml:space="preserve"> </w:t>
            </w:r>
            <w:r>
              <w:rPr>
                <w:rFonts w:hint="default"/>
              </w:rPr>
              <w:t>废水污染物排放标准</w:t>
            </w:r>
          </w:p>
          <w:p w14:paraId="6A7AE107">
            <w:pPr>
              <w:keepNext w:val="0"/>
              <w:keepLines w:val="0"/>
              <w:suppressLineNumbers w:val="0"/>
              <w:bidi w:val="0"/>
              <w:spacing w:before="0" w:beforeAutospacing="0" w:after="0" w:afterAutospacing="0"/>
              <w:ind w:left="0" w:right="0"/>
              <w:rPr>
                <w:rFonts w:hint="eastAsia"/>
                <w:lang w:val="en-US" w:eastAsia="zh-CN"/>
              </w:rPr>
            </w:pPr>
            <w:r>
              <w:rPr>
                <w:rFonts w:hint="default"/>
              </w:rPr>
              <w:t>厂区排水实行清污分流、污污分流。项目产生的</w:t>
            </w:r>
            <w:r>
              <w:rPr>
                <w:rFonts w:hint="eastAsia"/>
              </w:rPr>
              <w:t>生活污水、食堂废水</w:t>
            </w:r>
            <w:r>
              <w:rPr>
                <w:rFonts w:hint="default"/>
              </w:rPr>
              <w:t>、</w:t>
            </w:r>
            <w:r>
              <w:rPr>
                <w:rFonts w:hint="eastAsia"/>
                <w:lang w:eastAsia="zh-CN"/>
              </w:rPr>
              <w:t>超声波</w:t>
            </w:r>
            <w:r>
              <w:rPr>
                <w:rFonts w:hint="default"/>
              </w:rPr>
              <w:t>清洗废水</w:t>
            </w:r>
            <w:r>
              <w:rPr>
                <w:rFonts w:hint="eastAsia"/>
                <w:lang w:eastAsia="zh-CN"/>
              </w:rPr>
              <w:t>、地面清洁废水</w:t>
            </w:r>
            <w:r>
              <w:rPr>
                <w:rFonts w:hint="default"/>
              </w:rPr>
              <w:t>等纳入现有综合污水处理站处理；以上废水与经过化粪池处理的生活污水一并经园区污水管网排入城东污水处理厂处理。总排口pH、COD、氨氮、石油类执行城东污水处理厂接管标准。城东污水处理厂废水排放执行《城镇污水处理厂污染物排放标准》（GB18918-2002）中一级A标准。</w:t>
            </w:r>
          </w:p>
          <w:p w14:paraId="03BBDBA5">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 w:val="24"/>
                <w:szCs w:val="24"/>
                <w:lang w:val="en-US"/>
              </w:rPr>
            </w:pPr>
            <w:r>
              <w:rPr>
                <w:rFonts w:hint="eastAsia" w:ascii="Times New Roman" w:hAnsi="Times New Roman" w:eastAsia="宋体" w:cs="宋体"/>
                <w:b/>
                <w:bCs w:val="0"/>
                <w:kern w:val="0"/>
                <w:sz w:val="24"/>
                <w:szCs w:val="21"/>
                <w:lang w:val="en-US" w:eastAsia="zh-CN" w:bidi="ar"/>
              </w:rPr>
              <w:t>表</w:t>
            </w:r>
            <w:r>
              <w:rPr>
                <w:rFonts w:hint="eastAsia" w:ascii="Times New Roman" w:hAnsi="Times New Roman" w:eastAsia="宋体" w:cs="Times New Roman"/>
                <w:b/>
                <w:bCs w:val="0"/>
                <w:kern w:val="0"/>
                <w:sz w:val="24"/>
                <w:szCs w:val="21"/>
                <w:lang w:val="en-US" w:eastAsia="zh-CN" w:bidi="ar"/>
              </w:rPr>
              <w:t>1.1-1</w:t>
            </w:r>
            <w:r>
              <w:rPr>
                <w:rFonts w:hint="default" w:ascii="Times New Roman" w:hAnsi="Times New Roman" w:eastAsia="宋体" w:cs="Times New Roman"/>
                <w:b/>
                <w:bCs w:val="0"/>
                <w:kern w:val="0"/>
                <w:sz w:val="24"/>
                <w:szCs w:val="21"/>
                <w:lang w:val="en-US" w:eastAsia="zh-CN" w:bidi="ar"/>
              </w:rPr>
              <w:t xml:space="preserve"> </w:t>
            </w:r>
            <w:r>
              <w:rPr>
                <w:rFonts w:hint="eastAsia" w:ascii="Times New Roman" w:hAnsi="Times New Roman" w:eastAsia="宋体" w:cs="宋体"/>
                <w:b/>
                <w:bCs w:val="0"/>
                <w:kern w:val="0"/>
                <w:sz w:val="24"/>
                <w:szCs w:val="21"/>
                <w:lang w:val="en-US" w:eastAsia="zh-CN" w:bidi="ar"/>
              </w:rPr>
              <w:t>项目废水污染物排放标准一览表</w:t>
            </w:r>
          </w:p>
          <w:tbl>
            <w:tblPr>
              <w:tblStyle w:val="19"/>
              <w:tblW w:w="83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617"/>
              <w:gridCol w:w="1619"/>
              <w:gridCol w:w="1090"/>
              <w:gridCol w:w="1795"/>
              <w:gridCol w:w="2216"/>
            </w:tblGrid>
            <w:tr w14:paraId="64337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18" w:hRule="atLeast"/>
              </w:trPr>
              <w:tc>
                <w:tcPr>
                  <w:tcW w:w="1617" w:type="dxa"/>
                  <w:tcBorders>
                    <w:top w:val="single" w:color="auto" w:sz="4" w:space="0"/>
                    <w:left w:val="single" w:color="auto" w:sz="4" w:space="0"/>
                    <w:bottom w:val="single" w:color="auto" w:sz="4" w:space="0"/>
                    <w:right w:val="single" w:color="auto" w:sz="4" w:space="0"/>
                  </w:tcBorders>
                  <w:shd w:val="clear" w:color="auto" w:fill="auto"/>
                  <w:vAlign w:val="center"/>
                </w:tcPr>
                <w:p w14:paraId="79198C86">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kern w:val="2"/>
                      <w:sz w:val="21"/>
                      <w:szCs w:val="21"/>
                      <w:lang w:val="en-US" w:eastAsia="zh-CN" w:bidi="ar"/>
                    </w:rPr>
                  </w:pPr>
                  <w:r>
                    <w:rPr>
                      <w:rFonts w:hint="eastAsia" w:ascii="Times New Roman" w:hAnsi="Times New Roman" w:eastAsia="宋体" w:cs="宋体"/>
                      <w:kern w:val="2"/>
                      <w:sz w:val="21"/>
                      <w:szCs w:val="21"/>
                      <w:lang w:val="en-US" w:eastAsia="zh-CN" w:bidi="ar"/>
                    </w:rPr>
                    <w:t>废水处理</w:t>
                  </w:r>
                </w:p>
                <w:p w14:paraId="59B68545">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场所</w:t>
                  </w: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73A7B89F">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污染物名称</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2D3A1B8C">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kern w:val="2"/>
                      <w:sz w:val="21"/>
                      <w:szCs w:val="21"/>
                      <w:lang w:val="en-US" w:eastAsia="zh-CN" w:bidi="ar"/>
                    </w:rPr>
                  </w:pPr>
                  <w:r>
                    <w:rPr>
                      <w:rFonts w:hint="eastAsia" w:ascii="Times New Roman" w:hAnsi="Times New Roman" w:eastAsia="宋体" w:cs="宋体"/>
                      <w:kern w:val="2"/>
                      <w:sz w:val="21"/>
                      <w:szCs w:val="21"/>
                      <w:lang w:val="en-US" w:eastAsia="zh-CN" w:bidi="ar"/>
                    </w:rPr>
                    <w:t>排放</w:t>
                  </w:r>
                </w:p>
                <w:p w14:paraId="5D1A6412">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限值</w:t>
                  </w:r>
                </w:p>
              </w:tc>
              <w:tc>
                <w:tcPr>
                  <w:tcW w:w="1795" w:type="dxa"/>
                  <w:tcBorders>
                    <w:top w:val="single" w:color="auto" w:sz="4" w:space="0"/>
                    <w:left w:val="single" w:color="auto" w:sz="4" w:space="0"/>
                    <w:bottom w:val="single" w:color="auto" w:sz="4" w:space="0"/>
                    <w:right w:val="single" w:color="auto" w:sz="4" w:space="0"/>
                  </w:tcBorders>
                  <w:shd w:val="clear" w:color="auto" w:fill="auto"/>
                  <w:vAlign w:val="center"/>
                </w:tcPr>
                <w:p w14:paraId="3D9F178D">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污染物排放监控位置</w:t>
                  </w:r>
                </w:p>
              </w:tc>
              <w:tc>
                <w:tcPr>
                  <w:tcW w:w="2216" w:type="dxa"/>
                  <w:tcBorders>
                    <w:top w:val="single" w:color="auto" w:sz="4" w:space="0"/>
                    <w:left w:val="single" w:color="auto" w:sz="4" w:space="0"/>
                    <w:bottom w:val="single" w:color="auto" w:sz="4" w:space="0"/>
                    <w:right w:val="single" w:color="auto" w:sz="4" w:space="0"/>
                  </w:tcBorders>
                  <w:shd w:val="clear" w:color="auto" w:fill="auto"/>
                  <w:vAlign w:val="center"/>
                </w:tcPr>
                <w:p w14:paraId="110523C8">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标准</w:t>
                  </w:r>
                </w:p>
              </w:tc>
            </w:tr>
            <w:tr w14:paraId="447FD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16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A8DB35C">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kern w:val="2"/>
                      <w:sz w:val="21"/>
                      <w:szCs w:val="21"/>
                      <w:lang w:val="en-US" w:eastAsia="zh-CN" w:bidi="ar"/>
                    </w:rPr>
                  </w:pPr>
                  <w:r>
                    <w:rPr>
                      <w:rFonts w:hint="eastAsia" w:ascii="Times New Roman" w:hAnsi="Times New Roman" w:eastAsia="宋体" w:cs="宋体"/>
                      <w:kern w:val="2"/>
                      <w:sz w:val="21"/>
                      <w:szCs w:val="21"/>
                      <w:lang w:val="en-US" w:eastAsia="zh-CN" w:bidi="ar"/>
                    </w:rPr>
                    <w:t>厂区污水</w:t>
                  </w:r>
                </w:p>
                <w:p w14:paraId="395021B0">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处理站</w:t>
                  </w: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79F057D6">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pH</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324F9308">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6~9</w:t>
                  </w:r>
                </w:p>
              </w:tc>
              <w:tc>
                <w:tcPr>
                  <w:tcW w:w="179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64E0D16">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厂区总排口</w:t>
                  </w:r>
                </w:p>
              </w:tc>
              <w:tc>
                <w:tcPr>
                  <w:tcW w:w="221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7FFDAA4">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城东污水处理厂接管标准</w:t>
                  </w:r>
                </w:p>
              </w:tc>
            </w:tr>
            <w:tr w14:paraId="1D594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574C72A">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596AF5BE">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COD</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196824BD">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300</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7646E05">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5F1D231">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6830A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5"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2944237">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0D508C19">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snapToGrid/>
                      <w:kern w:val="0"/>
                      <w:sz w:val="21"/>
                      <w:szCs w:val="21"/>
                      <w:lang w:val="en-US" w:eastAsia="zh-CN" w:bidi="ar"/>
                    </w:rPr>
                    <w:t>BOD</w:t>
                  </w:r>
                  <w:r>
                    <w:rPr>
                      <w:rFonts w:hint="default" w:ascii="Times New Roman" w:hAnsi="Times New Roman" w:eastAsia="宋体" w:cs="Times New Roman"/>
                      <w:snapToGrid/>
                      <w:kern w:val="0"/>
                      <w:sz w:val="21"/>
                      <w:szCs w:val="21"/>
                      <w:vertAlign w:val="subscript"/>
                      <w:lang w:val="en-US" w:eastAsia="zh-CN" w:bidi="ar"/>
                    </w:rPr>
                    <w:t>5</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68CFD051">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eastAsia" w:ascii="Times New Roman" w:hAnsi="Times New Roman" w:eastAsia="宋体" w:cs="Times New Roman"/>
                      <w:kern w:val="2"/>
                      <w:sz w:val="21"/>
                      <w:szCs w:val="21"/>
                      <w:lang w:val="en-US" w:eastAsia="zh-CN" w:bidi="ar"/>
                    </w:rPr>
                    <w:t>150</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6AB63FC">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6F20CF9">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500E5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4"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77B333C">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34AD5630">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snapToGrid/>
                      <w:kern w:val="0"/>
                      <w:sz w:val="21"/>
                      <w:szCs w:val="21"/>
                      <w:lang w:val="en-US" w:eastAsia="zh-CN" w:bidi="ar"/>
                    </w:rPr>
                    <w:t>SS</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35769E9C">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eastAsia" w:ascii="Times New Roman" w:hAnsi="Times New Roman" w:eastAsia="宋体" w:cs="Times New Roman"/>
                      <w:kern w:val="2"/>
                      <w:sz w:val="21"/>
                      <w:szCs w:val="21"/>
                      <w:lang w:val="en-US" w:eastAsia="zh-CN" w:bidi="ar"/>
                    </w:rPr>
                    <w:t>200</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AA79403">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C8BB108">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188E9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1752492">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131729FD">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napToGrid/>
                      <w:kern w:val="0"/>
                      <w:sz w:val="21"/>
                      <w:szCs w:val="21"/>
                      <w:lang w:val="en-US" w:eastAsia="zh-CN" w:bidi="ar"/>
                    </w:rPr>
                  </w:pPr>
                  <w:r>
                    <w:rPr>
                      <w:rFonts w:hint="eastAsia" w:ascii="Times New Roman" w:hAnsi="Times New Roman" w:eastAsia="宋体" w:cs="Times New Roman"/>
                      <w:snapToGrid/>
                      <w:kern w:val="0"/>
                      <w:sz w:val="21"/>
                      <w:szCs w:val="21"/>
                      <w:lang w:val="en-US" w:eastAsia="zh-CN" w:bidi="ar"/>
                    </w:rPr>
                    <w:t>动植物油</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613E00E0">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eastAsia" w:ascii="Times New Roman" w:hAnsi="Times New Roman" w:eastAsia="宋体" w:cs="Times New Roman"/>
                      <w:kern w:val="2"/>
                      <w:sz w:val="21"/>
                      <w:szCs w:val="21"/>
                      <w:lang w:val="en-US" w:eastAsia="zh-CN" w:bidi="ar"/>
                    </w:rPr>
                    <w:t>100</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8767A44">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6409803">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27792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84F640B">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7F6C0E07">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氨氮</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458C8674">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25</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6D37EAA">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B30B762">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5817C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4"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026189B">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41581728">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宋体"/>
                      <w:kern w:val="2"/>
                      <w:sz w:val="21"/>
                      <w:szCs w:val="21"/>
                      <w:lang w:val="en-US" w:eastAsia="zh-CN" w:bidi="ar"/>
                    </w:rPr>
                  </w:pPr>
                  <w:r>
                    <w:rPr>
                      <w:rFonts w:hint="eastAsia" w:ascii="Times New Roman" w:hAnsi="Times New Roman" w:eastAsia="宋体" w:cs="宋体"/>
                      <w:kern w:val="2"/>
                      <w:sz w:val="21"/>
                      <w:szCs w:val="21"/>
                      <w:lang w:val="en-US" w:eastAsia="zh-CN" w:bidi="ar"/>
                    </w:rPr>
                    <w:t>LAS</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2A868056">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eastAsia" w:ascii="Times New Roman" w:hAnsi="Times New Roman" w:eastAsia="宋体" w:cs="Times New Roman"/>
                      <w:kern w:val="2"/>
                      <w:sz w:val="21"/>
                      <w:szCs w:val="21"/>
                      <w:lang w:val="en-US" w:eastAsia="zh-CN" w:bidi="ar"/>
                    </w:rPr>
                    <w:t>20</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664A5D9">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B77A7C3">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2C374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4"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798D97F">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503A4C33">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石油类</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042CBFBC">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20</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451ECA3">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611D3CD">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0FEA3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6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6EF8506">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kern w:val="2"/>
                      <w:sz w:val="21"/>
                      <w:szCs w:val="21"/>
                      <w:lang w:val="en-US" w:eastAsia="zh-CN" w:bidi="ar"/>
                    </w:rPr>
                  </w:pPr>
                  <w:r>
                    <w:rPr>
                      <w:rFonts w:hint="eastAsia" w:ascii="Times New Roman" w:hAnsi="Times New Roman" w:eastAsia="宋体" w:cs="宋体"/>
                      <w:kern w:val="2"/>
                      <w:sz w:val="21"/>
                      <w:szCs w:val="21"/>
                      <w:lang w:val="en-US" w:eastAsia="zh-CN" w:bidi="ar"/>
                    </w:rPr>
                    <w:t>城东污水</w:t>
                  </w:r>
                </w:p>
                <w:p w14:paraId="31540D59">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处理厂</w:t>
                  </w: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130C0766">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pH</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05975427">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6~9</w:t>
                  </w:r>
                </w:p>
              </w:tc>
              <w:tc>
                <w:tcPr>
                  <w:tcW w:w="179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4041B4E">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城东污水处理厂排放口</w:t>
                  </w:r>
                </w:p>
              </w:tc>
              <w:tc>
                <w:tcPr>
                  <w:tcW w:w="221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95DB66A">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《城镇污水处理厂污染物排放标准》（</w:t>
                  </w:r>
                  <w:r>
                    <w:rPr>
                      <w:rFonts w:hint="default" w:ascii="Times New Roman" w:hAnsi="Times New Roman" w:eastAsia="宋体" w:cs="Times New Roman"/>
                      <w:kern w:val="2"/>
                      <w:sz w:val="21"/>
                      <w:szCs w:val="21"/>
                      <w:lang w:val="en-US" w:eastAsia="zh-CN" w:bidi="ar"/>
                    </w:rPr>
                    <w:t>GB18918-2002</w:t>
                  </w:r>
                  <w:r>
                    <w:rPr>
                      <w:rFonts w:hint="eastAsia" w:ascii="Times New Roman" w:hAnsi="Times New Roman" w:eastAsia="宋体" w:cs="宋体"/>
                      <w:kern w:val="2"/>
                      <w:sz w:val="21"/>
                      <w:szCs w:val="21"/>
                      <w:lang w:val="en-US" w:eastAsia="zh-CN" w:bidi="ar"/>
                    </w:rPr>
                    <w:t>）一级</w:t>
                  </w:r>
                  <w:r>
                    <w:rPr>
                      <w:rFonts w:hint="eastAsia" w:ascii="Times New Roman" w:hAnsi="Times New Roman" w:eastAsia="宋体" w:cs="Times New Roman"/>
                      <w:kern w:val="2"/>
                      <w:sz w:val="21"/>
                      <w:szCs w:val="21"/>
                      <w:lang w:val="en-US" w:eastAsia="zh-CN" w:bidi="ar"/>
                    </w:rPr>
                    <w:t>A</w:t>
                  </w:r>
                  <w:r>
                    <w:rPr>
                      <w:rFonts w:hint="eastAsia" w:ascii="Times New Roman" w:hAnsi="Times New Roman" w:eastAsia="宋体" w:cs="宋体"/>
                      <w:kern w:val="2"/>
                      <w:sz w:val="21"/>
                      <w:szCs w:val="21"/>
                      <w:lang w:val="en-US" w:eastAsia="zh-CN" w:bidi="ar"/>
                    </w:rPr>
                    <w:t>标准</w:t>
                  </w:r>
                </w:p>
              </w:tc>
            </w:tr>
            <w:tr w14:paraId="35620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70D06ED">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4DBD8B8E">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COD</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1BE0A790">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Times New Roman"/>
                      <w:kern w:val="2"/>
                      <w:sz w:val="21"/>
                      <w:szCs w:val="21"/>
                      <w:lang w:val="en-US" w:eastAsia="zh-CN" w:bidi="ar"/>
                    </w:rPr>
                    <w:t>50</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1E41E9C">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DEC989A">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78D6D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B1D1EF4">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54D163C2">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氨氮</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34C80622">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Times New Roman"/>
                      <w:kern w:val="2"/>
                      <w:sz w:val="21"/>
                      <w:szCs w:val="21"/>
                      <w:lang w:val="en-US" w:eastAsia="zh-CN" w:bidi="ar"/>
                    </w:rPr>
                    <w:t>5</w:t>
                  </w:r>
                  <w:r>
                    <w:rPr>
                      <w:rFonts w:hint="default" w:ascii="Times New Roman" w:hAnsi="Times New Roman" w:eastAsia="宋体" w:cs="Times New Roman"/>
                      <w:kern w:val="2"/>
                      <w:sz w:val="21"/>
                      <w:szCs w:val="21"/>
                      <w:lang w:val="en-US" w:eastAsia="zh-CN" w:bidi="ar"/>
                    </w:rPr>
                    <w:t>（</w:t>
                  </w:r>
                  <w:r>
                    <w:rPr>
                      <w:rFonts w:hint="eastAsia" w:ascii="Times New Roman" w:hAnsi="Times New Roman" w:eastAsia="宋体" w:cs="Times New Roman"/>
                      <w:kern w:val="2"/>
                      <w:sz w:val="21"/>
                      <w:szCs w:val="21"/>
                      <w:lang w:val="en-US" w:eastAsia="zh-CN" w:bidi="ar"/>
                    </w:rPr>
                    <w:t>8</w:t>
                  </w:r>
                  <w:r>
                    <w:rPr>
                      <w:rFonts w:hint="default" w:ascii="Times New Roman" w:hAnsi="Times New Roman" w:eastAsia="宋体" w:cs="Times New Roman"/>
                      <w:kern w:val="2"/>
                      <w:sz w:val="21"/>
                      <w:szCs w:val="21"/>
                      <w:lang w:val="en-US" w:eastAsia="zh-CN" w:bidi="ar"/>
                    </w:rPr>
                    <w:t>）*</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F45CDC6">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0720E1B">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5F331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6971C91">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0B9176D3">
                  <w:pPr>
                    <w:keepNext w:val="0"/>
                    <w:keepLines w:val="0"/>
                    <w:pageBreakBefore w:val="0"/>
                    <w:widowControl w:val="0"/>
                    <w:suppressLineNumbers w:val="0"/>
                    <w:kinsoku/>
                    <w:wordWrap/>
                    <w:overflowPunct/>
                    <w:topLinePunct w:val="0"/>
                    <w:bidi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kern w:val="2"/>
                      <w:sz w:val="21"/>
                      <w:szCs w:val="21"/>
                      <w:lang w:val="en-US" w:eastAsia="zh-CN" w:bidi="ar"/>
                    </w:rPr>
                  </w:pPr>
                  <w:r>
                    <w:rPr>
                      <w:rFonts w:hint="default" w:ascii="Times New Roman" w:hAnsi="Times New Roman" w:eastAsia="宋体" w:cs="Times New Roman"/>
                      <w:snapToGrid/>
                      <w:kern w:val="0"/>
                      <w:sz w:val="21"/>
                      <w:szCs w:val="21"/>
                      <w:lang w:val="en-US" w:eastAsia="zh-CN" w:bidi="ar"/>
                    </w:rPr>
                    <w:t>BOD</w:t>
                  </w:r>
                  <w:r>
                    <w:rPr>
                      <w:rFonts w:hint="default" w:ascii="Times New Roman" w:hAnsi="Times New Roman" w:eastAsia="宋体" w:cs="Times New Roman"/>
                      <w:snapToGrid/>
                      <w:kern w:val="0"/>
                      <w:sz w:val="21"/>
                      <w:szCs w:val="21"/>
                      <w:vertAlign w:val="subscript"/>
                      <w:lang w:val="en-US" w:eastAsia="zh-CN" w:bidi="ar"/>
                    </w:rPr>
                    <w:t>5</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617599FE">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eastAsia" w:ascii="Times New Roman" w:hAnsi="Times New Roman" w:eastAsia="宋体" w:cs="Times New Roman"/>
                      <w:kern w:val="2"/>
                      <w:sz w:val="21"/>
                      <w:szCs w:val="21"/>
                      <w:lang w:val="en-US" w:eastAsia="zh-CN" w:bidi="ar"/>
                    </w:rPr>
                    <w:t>10</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3AFD7B6">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FB4D0A3">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71914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6039B5E">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2463BF15">
                  <w:pPr>
                    <w:keepNext w:val="0"/>
                    <w:keepLines w:val="0"/>
                    <w:pageBreakBefore w:val="0"/>
                    <w:widowControl w:val="0"/>
                    <w:suppressLineNumbers w:val="0"/>
                    <w:kinsoku/>
                    <w:wordWrap/>
                    <w:overflowPunct/>
                    <w:topLinePunct w:val="0"/>
                    <w:bidi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kern w:val="2"/>
                      <w:sz w:val="21"/>
                      <w:szCs w:val="21"/>
                      <w:lang w:val="en-US" w:eastAsia="zh-CN" w:bidi="ar"/>
                    </w:rPr>
                  </w:pPr>
                  <w:r>
                    <w:rPr>
                      <w:rFonts w:hint="default" w:ascii="Times New Roman" w:hAnsi="Times New Roman" w:eastAsia="宋体" w:cs="Times New Roman"/>
                      <w:snapToGrid/>
                      <w:kern w:val="0"/>
                      <w:sz w:val="21"/>
                      <w:szCs w:val="21"/>
                      <w:lang w:val="en-US" w:eastAsia="zh-CN" w:bidi="ar"/>
                    </w:rPr>
                    <w:t>SS</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4F1F7CAC">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eastAsia" w:ascii="Times New Roman" w:hAnsi="Times New Roman" w:eastAsia="宋体" w:cs="Times New Roman"/>
                      <w:kern w:val="2"/>
                      <w:sz w:val="21"/>
                      <w:szCs w:val="21"/>
                      <w:lang w:val="en-US" w:eastAsia="zh-CN" w:bidi="ar"/>
                    </w:rPr>
                    <w:t>10</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0A268FE">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07E047C">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43A9B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24"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A629573">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15C4A71A">
                  <w:pPr>
                    <w:keepNext w:val="0"/>
                    <w:keepLines w:val="0"/>
                    <w:pageBreakBefore w:val="0"/>
                    <w:widowControl w:val="0"/>
                    <w:suppressLineNumbers w:val="0"/>
                    <w:kinsoku/>
                    <w:wordWrap/>
                    <w:overflowPunct/>
                    <w:topLinePunct w:val="0"/>
                    <w:bidi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snapToGrid/>
                      <w:kern w:val="0"/>
                      <w:sz w:val="21"/>
                      <w:szCs w:val="21"/>
                      <w:lang w:val="en-US" w:eastAsia="zh-CN" w:bidi="ar"/>
                    </w:rPr>
                  </w:pPr>
                  <w:r>
                    <w:rPr>
                      <w:rFonts w:hint="eastAsia" w:ascii="Times New Roman" w:hAnsi="Times New Roman" w:eastAsia="宋体" w:cs="Times New Roman"/>
                      <w:snapToGrid/>
                      <w:kern w:val="0"/>
                      <w:sz w:val="21"/>
                      <w:szCs w:val="21"/>
                      <w:lang w:val="en-US" w:eastAsia="zh-CN" w:bidi="ar"/>
                    </w:rPr>
                    <w:t>动植物油</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4D569436">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eastAsia" w:ascii="Times New Roman" w:hAnsi="Times New Roman" w:eastAsia="宋体" w:cs="Times New Roman"/>
                      <w:kern w:val="2"/>
                      <w:sz w:val="21"/>
                      <w:szCs w:val="21"/>
                      <w:lang w:val="en-US" w:eastAsia="zh-CN" w:bidi="ar"/>
                    </w:rPr>
                    <w:t>1</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14D0018">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A22E94">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59DCB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BC3E522">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0B037051">
                  <w:pPr>
                    <w:keepNext w:val="0"/>
                    <w:keepLines w:val="0"/>
                    <w:pageBreakBefore w:val="0"/>
                    <w:widowControl w:val="0"/>
                    <w:suppressLineNumbers w:val="0"/>
                    <w:kinsoku/>
                    <w:wordWrap/>
                    <w:overflowPunct/>
                    <w:topLinePunct w:val="0"/>
                    <w:bidi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napToGrid/>
                      <w:kern w:val="0"/>
                      <w:sz w:val="21"/>
                      <w:szCs w:val="21"/>
                      <w:lang w:val="en-US" w:eastAsia="zh-CN" w:bidi="ar"/>
                    </w:rPr>
                  </w:pPr>
                  <w:r>
                    <w:rPr>
                      <w:rFonts w:hint="eastAsia" w:ascii="Times New Roman" w:hAnsi="Times New Roman" w:eastAsia="宋体" w:cs="Times New Roman"/>
                      <w:snapToGrid/>
                      <w:kern w:val="0"/>
                      <w:sz w:val="21"/>
                      <w:szCs w:val="21"/>
                      <w:lang w:val="en-US" w:eastAsia="zh-CN" w:bidi="ar"/>
                    </w:rPr>
                    <w:t>LAS</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654352CF">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eastAsia" w:ascii="Times New Roman" w:hAnsi="Times New Roman" w:eastAsia="宋体" w:cs="Times New Roman"/>
                      <w:kern w:val="2"/>
                      <w:sz w:val="21"/>
                      <w:szCs w:val="21"/>
                      <w:lang w:val="en-US" w:eastAsia="zh-CN" w:bidi="ar"/>
                    </w:rPr>
                    <w:t>0.5</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22965C5">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C390D60">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26069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16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3911613">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619" w:type="dxa"/>
                  <w:tcBorders>
                    <w:top w:val="single" w:color="auto" w:sz="4" w:space="0"/>
                    <w:left w:val="single" w:color="auto" w:sz="4" w:space="0"/>
                    <w:bottom w:val="single" w:color="auto" w:sz="4" w:space="0"/>
                    <w:right w:val="single" w:color="auto" w:sz="4" w:space="0"/>
                  </w:tcBorders>
                  <w:shd w:val="clear" w:color="auto" w:fill="auto"/>
                  <w:vAlign w:val="center"/>
                </w:tcPr>
                <w:p w14:paraId="3F91B773">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石油类</w:t>
                  </w:r>
                </w:p>
              </w:tc>
              <w:tc>
                <w:tcPr>
                  <w:tcW w:w="1090" w:type="dxa"/>
                  <w:tcBorders>
                    <w:top w:val="single" w:color="auto" w:sz="4" w:space="0"/>
                    <w:left w:val="single" w:color="auto" w:sz="4" w:space="0"/>
                    <w:bottom w:val="single" w:color="auto" w:sz="4" w:space="0"/>
                    <w:right w:val="single" w:color="auto" w:sz="4" w:space="0"/>
                  </w:tcBorders>
                  <w:shd w:val="clear" w:color="auto" w:fill="auto"/>
                  <w:vAlign w:val="center"/>
                </w:tcPr>
                <w:p w14:paraId="5A4C57E1">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eastAsia" w:eastAsiaTheme="minorEastAsia"/>
                      <w:szCs w:val="21"/>
                      <w:lang w:val="en-US" w:eastAsia="zh-CN"/>
                    </w:rPr>
                  </w:pPr>
                  <w:r>
                    <w:rPr>
                      <w:rFonts w:hint="eastAsia"/>
                      <w:szCs w:val="21"/>
                      <w:lang w:val="en-US" w:eastAsia="zh-CN"/>
                    </w:rPr>
                    <w:t>1</w:t>
                  </w:r>
                </w:p>
              </w:tc>
              <w:tc>
                <w:tcPr>
                  <w:tcW w:w="17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B441453">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22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DC376E4">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bl>
          <w:p w14:paraId="7D45B476">
            <w:pPr>
              <w:keepNext w:val="0"/>
              <w:keepLines w:val="0"/>
              <w:suppressLineNumbers w:val="0"/>
              <w:bidi w:val="0"/>
              <w:spacing w:before="0" w:beforeAutospacing="0" w:after="0" w:afterAutospacing="0"/>
              <w:ind w:left="0" w:leftChars="0" w:right="0" w:firstLine="0" w:firstLineChars="0"/>
              <w:rPr>
                <w:rFonts w:hint="eastAsia"/>
                <w:sz w:val="21"/>
                <w:szCs w:val="20"/>
              </w:rPr>
            </w:pPr>
            <w:r>
              <w:rPr>
                <w:rFonts w:hint="eastAsia"/>
                <w:sz w:val="21"/>
                <w:szCs w:val="20"/>
              </w:rPr>
              <w:t>注：*括号外数值为水温＞12℃时的控制指标，括号内为水温≤12℃时的控制指标。</w:t>
            </w:r>
          </w:p>
          <w:p w14:paraId="29360C50">
            <w:pPr>
              <w:pStyle w:val="3"/>
              <w:suppressLineNumbers w:val="0"/>
              <w:bidi w:val="0"/>
              <w:spacing w:before="0" w:beforeAutospacing="0" w:after="0" w:afterAutospacing="0"/>
              <w:ind w:left="0" w:right="0"/>
              <w:rPr>
                <w:rFonts w:hint="default"/>
              </w:rPr>
            </w:pPr>
            <w:r>
              <w:rPr>
                <w:rFonts w:hint="eastAsia"/>
              </w:rPr>
              <w:t xml:space="preserve">1.2 </w:t>
            </w:r>
            <w:r>
              <w:rPr>
                <w:rFonts w:hint="default"/>
              </w:rPr>
              <w:t>大气污染物排放标准</w:t>
            </w:r>
          </w:p>
          <w:p w14:paraId="19367151">
            <w:pPr>
              <w:keepNext w:val="0"/>
              <w:keepLines w:val="0"/>
              <w:suppressLineNumbers w:val="0"/>
              <w:spacing w:before="0" w:beforeAutospacing="0" w:after="0" w:afterAutospacing="0"/>
              <w:ind w:left="0" w:right="0" w:firstLine="480"/>
              <w:rPr>
                <w:rFonts w:hint="default"/>
              </w:rPr>
            </w:pPr>
            <w:r>
              <w:rPr>
                <w:rFonts w:hint="default"/>
              </w:rPr>
              <w:t>项目建成运行后，</w:t>
            </w:r>
            <w:r>
              <w:rPr>
                <w:rFonts w:hint="eastAsia"/>
                <w:lang w:eastAsia="zh-CN"/>
              </w:rPr>
              <w:t>主要污染物为机加工过程产生的油雾（以非甲烷总烃计）以及抛光过程产生的颗粒物</w:t>
            </w:r>
            <w:r>
              <w:rPr>
                <w:rFonts w:hint="default"/>
              </w:rPr>
              <w:t>，</w:t>
            </w:r>
            <w:r>
              <w:rPr>
                <w:rFonts w:hint="eastAsia"/>
                <w:lang w:eastAsia="zh-CN"/>
              </w:rPr>
              <w:t>非甲烷总烃</w:t>
            </w:r>
            <w:r>
              <w:rPr>
                <w:rFonts w:hint="default"/>
              </w:rPr>
              <w:t>和颗粒物排放执行《大气污染物综合排放标准》</w:t>
            </w:r>
            <w:r>
              <w:rPr>
                <w:rFonts w:hint="eastAsia"/>
              </w:rPr>
              <w:t>（GB16297-1996）</w:t>
            </w:r>
            <w:r>
              <w:rPr>
                <w:rFonts w:hint="default"/>
              </w:rPr>
              <w:t>。</w:t>
            </w:r>
          </w:p>
          <w:p w14:paraId="53CB92E1">
            <w:pPr>
              <w:keepNext w:val="0"/>
              <w:keepLines w:val="0"/>
              <w:suppressLineNumbers w:val="0"/>
              <w:spacing w:before="0" w:beforeAutospacing="0" w:after="0" w:afterAutospacing="0"/>
              <w:ind w:left="0" w:right="0" w:firstLine="480"/>
              <w:rPr>
                <w:rFonts w:hint="default"/>
              </w:rPr>
            </w:pPr>
            <w:r>
              <w:rPr>
                <w:rFonts w:hint="default"/>
              </w:rPr>
              <w:t>根据《挥发性有机物无组织排放控制标准》（GB37822-2019）：企业边界及周边VOCs监控要求执行GB16297或相关行业排放高标准的规定，因此拟建项目有机废气（以非甲烷总烃计）的无组织排放限值执行《大气污染物综合排放标准》</w:t>
            </w:r>
            <w:r>
              <w:rPr>
                <w:rFonts w:hint="eastAsia"/>
              </w:rPr>
              <w:t>（GB16297-1996）</w:t>
            </w:r>
            <w:r>
              <w:rPr>
                <w:rFonts w:hint="default"/>
              </w:rPr>
              <w:t>；厂内VOCS无组织排放执行《挥发性有机物无组织排放控制标准》（GB37822-2019）附录A中标准。具体标准值见下表。</w:t>
            </w:r>
          </w:p>
          <w:p w14:paraId="1DC2205A">
            <w:pPr>
              <w:pStyle w:val="25"/>
              <w:keepNext w:val="0"/>
              <w:keepLines w:val="0"/>
              <w:suppressLineNumbers w:val="0"/>
              <w:spacing w:before="0" w:beforeAutospacing="0" w:after="0" w:afterAutospacing="0"/>
              <w:ind w:left="0" w:right="0" w:firstLine="482"/>
              <w:rPr>
                <w:rFonts w:hint="default"/>
              </w:rPr>
            </w:pPr>
            <w:r>
              <w:rPr>
                <w:rFonts w:hint="default"/>
              </w:rPr>
              <w:t>表</w:t>
            </w:r>
            <w:r>
              <w:rPr>
                <w:rFonts w:hint="eastAsia"/>
                <w:lang w:val="en-US" w:eastAsia="zh-CN"/>
              </w:rPr>
              <w:t>1.2-1</w:t>
            </w:r>
            <w:r>
              <w:rPr>
                <w:rFonts w:hint="default"/>
              </w:rPr>
              <w:t xml:space="preserve"> 项目废气污染物有组织排放标准一览表</w:t>
            </w:r>
          </w:p>
          <w:tbl>
            <w:tblPr>
              <w:tblStyle w:val="19"/>
              <w:tblW w:w="8300" w:type="dxa"/>
              <w:tblInd w:w="0" w:type="dxa"/>
              <w:tblLayout w:type="autofit"/>
              <w:tblCellMar>
                <w:top w:w="0" w:type="dxa"/>
                <w:left w:w="108" w:type="dxa"/>
                <w:bottom w:w="0" w:type="dxa"/>
                <w:right w:w="108" w:type="dxa"/>
              </w:tblCellMar>
            </w:tblPr>
            <w:tblGrid>
              <w:gridCol w:w="691"/>
              <w:gridCol w:w="1314"/>
              <w:gridCol w:w="808"/>
              <w:gridCol w:w="1418"/>
              <w:gridCol w:w="1419"/>
              <w:gridCol w:w="2650"/>
            </w:tblGrid>
            <w:tr w14:paraId="420194A7">
              <w:tblPrEx>
                <w:tblCellMar>
                  <w:top w:w="0" w:type="dxa"/>
                  <w:left w:w="108" w:type="dxa"/>
                  <w:bottom w:w="0" w:type="dxa"/>
                  <w:right w:w="108" w:type="dxa"/>
                </w:tblCellMar>
              </w:tblPrEx>
              <w:trPr>
                <w:trHeight w:val="594" w:hRule="atLeast"/>
              </w:trPr>
              <w:tc>
                <w:tcPr>
                  <w:tcW w:w="691" w:type="dxa"/>
                  <w:tcBorders>
                    <w:top w:val="single" w:color="auto" w:sz="4" w:space="0"/>
                    <w:left w:val="single" w:color="auto" w:sz="4" w:space="0"/>
                    <w:bottom w:val="single" w:color="auto" w:sz="4" w:space="0"/>
                    <w:right w:val="single" w:color="auto" w:sz="4" w:space="0"/>
                  </w:tcBorders>
                  <w:noWrap/>
                  <w:vAlign w:val="center"/>
                </w:tcPr>
                <w:p w14:paraId="6F9A0CCA">
                  <w:pPr>
                    <w:pStyle w:val="24"/>
                    <w:keepNext w:val="0"/>
                    <w:keepLines w:val="0"/>
                    <w:suppressLineNumbers w:val="0"/>
                    <w:spacing w:before="0" w:beforeAutospacing="0" w:after="0" w:afterAutospacing="0"/>
                    <w:ind w:left="0" w:right="0"/>
                    <w:rPr>
                      <w:rFonts w:hint="default"/>
                    </w:rPr>
                  </w:pPr>
                  <w:r>
                    <w:rPr>
                      <w:rFonts w:hint="default"/>
                    </w:rPr>
                    <w:t>序号</w:t>
                  </w:r>
                </w:p>
              </w:tc>
              <w:tc>
                <w:tcPr>
                  <w:tcW w:w="1314" w:type="dxa"/>
                  <w:tcBorders>
                    <w:top w:val="single" w:color="auto" w:sz="4" w:space="0"/>
                    <w:left w:val="nil"/>
                    <w:bottom w:val="single" w:color="auto" w:sz="4" w:space="0"/>
                    <w:right w:val="single" w:color="auto" w:sz="4" w:space="0"/>
                  </w:tcBorders>
                  <w:vAlign w:val="center"/>
                </w:tcPr>
                <w:p w14:paraId="73F560D7">
                  <w:pPr>
                    <w:pStyle w:val="24"/>
                    <w:keepNext w:val="0"/>
                    <w:keepLines w:val="0"/>
                    <w:suppressLineNumbers w:val="0"/>
                    <w:spacing w:before="0" w:beforeAutospacing="0" w:after="0" w:afterAutospacing="0"/>
                    <w:ind w:left="0" w:right="0"/>
                    <w:rPr>
                      <w:rFonts w:hint="default"/>
                    </w:rPr>
                  </w:pPr>
                  <w:r>
                    <w:rPr>
                      <w:rFonts w:hint="default"/>
                    </w:rPr>
                    <w:t>污染物名称</w:t>
                  </w:r>
                </w:p>
              </w:tc>
              <w:tc>
                <w:tcPr>
                  <w:tcW w:w="808" w:type="dxa"/>
                  <w:tcBorders>
                    <w:top w:val="single" w:color="auto" w:sz="4" w:space="0"/>
                    <w:left w:val="nil"/>
                    <w:bottom w:val="single" w:color="auto" w:sz="4" w:space="0"/>
                    <w:right w:val="single" w:color="auto" w:sz="4" w:space="0"/>
                  </w:tcBorders>
                  <w:vAlign w:val="center"/>
                </w:tcPr>
                <w:p w14:paraId="49A7F8A7">
                  <w:pPr>
                    <w:pStyle w:val="24"/>
                    <w:keepNext w:val="0"/>
                    <w:keepLines w:val="0"/>
                    <w:suppressLineNumbers w:val="0"/>
                    <w:spacing w:before="0" w:beforeAutospacing="0" w:after="0" w:afterAutospacing="0"/>
                    <w:ind w:left="0" w:right="0"/>
                    <w:rPr>
                      <w:rFonts w:hint="default"/>
                    </w:rPr>
                  </w:pPr>
                  <w:r>
                    <w:rPr>
                      <w:rFonts w:hint="default"/>
                    </w:rPr>
                    <w:t>排放高度m</w:t>
                  </w:r>
                </w:p>
              </w:tc>
              <w:tc>
                <w:tcPr>
                  <w:tcW w:w="1418" w:type="dxa"/>
                  <w:tcBorders>
                    <w:top w:val="single" w:color="auto" w:sz="4" w:space="0"/>
                    <w:left w:val="nil"/>
                    <w:bottom w:val="single" w:color="auto" w:sz="4" w:space="0"/>
                    <w:right w:val="single" w:color="auto" w:sz="4" w:space="0"/>
                  </w:tcBorders>
                  <w:vAlign w:val="center"/>
                </w:tcPr>
                <w:p w14:paraId="5492CE32">
                  <w:pPr>
                    <w:pStyle w:val="24"/>
                    <w:keepNext w:val="0"/>
                    <w:keepLines w:val="0"/>
                    <w:suppressLineNumbers w:val="0"/>
                    <w:spacing w:before="0" w:beforeAutospacing="0" w:after="0" w:afterAutospacing="0"/>
                    <w:ind w:left="0" w:right="0"/>
                    <w:rPr>
                      <w:rFonts w:hint="default"/>
                    </w:rPr>
                  </w:pPr>
                  <w:r>
                    <w:rPr>
                      <w:rFonts w:hint="default"/>
                    </w:rPr>
                    <w:t>最高允许排放浓度mg/m3</w:t>
                  </w:r>
                </w:p>
              </w:tc>
              <w:tc>
                <w:tcPr>
                  <w:tcW w:w="1419" w:type="dxa"/>
                  <w:tcBorders>
                    <w:top w:val="single" w:color="auto" w:sz="4" w:space="0"/>
                    <w:left w:val="nil"/>
                    <w:bottom w:val="single" w:color="auto" w:sz="4" w:space="0"/>
                    <w:right w:val="single" w:color="auto" w:sz="4" w:space="0"/>
                  </w:tcBorders>
                  <w:vAlign w:val="center"/>
                </w:tcPr>
                <w:p w14:paraId="719ACAF7">
                  <w:pPr>
                    <w:pStyle w:val="24"/>
                    <w:keepNext w:val="0"/>
                    <w:keepLines w:val="0"/>
                    <w:suppressLineNumbers w:val="0"/>
                    <w:spacing w:before="0" w:beforeAutospacing="0" w:after="0" w:afterAutospacing="0"/>
                    <w:ind w:left="0" w:right="0"/>
                    <w:rPr>
                      <w:rFonts w:hint="default"/>
                    </w:rPr>
                  </w:pPr>
                  <w:r>
                    <w:rPr>
                      <w:rFonts w:hint="default"/>
                    </w:rPr>
                    <w:t>最高允许排放速率kg/h</w:t>
                  </w:r>
                </w:p>
              </w:tc>
              <w:tc>
                <w:tcPr>
                  <w:tcW w:w="2650" w:type="dxa"/>
                  <w:tcBorders>
                    <w:top w:val="single" w:color="auto" w:sz="4" w:space="0"/>
                    <w:left w:val="nil"/>
                    <w:bottom w:val="single" w:color="auto" w:sz="4" w:space="0"/>
                    <w:right w:val="single" w:color="auto" w:sz="4" w:space="0"/>
                  </w:tcBorders>
                  <w:vAlign w:val="center"/>
                </w:tcPr>
                <w:p w14:paraId="534F38F9">
                  <w:pPr>
                    <w:pStyle w:val="24"/>
                    <w:keepNext w:val="0"/>
                    <w:keepLines w:val="0"/>
                    <w:suppressLineNumbers w:val="0"/>
                    <w:spacing w:before="0" w:beforeAutospacing="0" w:after="0" w:afterAutospacing="0"/>
                    <w:ind w:left="0" w:right="0"/>
                    <w:rPr>
                      <w:rFonts w:hint="default"/>
                    </w:rPr>
                  </w:pPr>
                  <w:r>
                    <w:rPr>
                      <w:rFonts w:hint="default"/>
                    </w:rPr>
                    <w:t>标准来源</w:t>
                  </w:r>
                </w:p>
              </w:tc>
            </w:tr>
            <w:tr w14:paraId="69AC6CB9">
              <w:tblPrEx>
                <w:tblCellMar>
                  <w:top w:w="0" w:type="dxa"/>
                  <w:left w:w="108" w:type="dxa"/>
                  <w:bottom w:w="0" w:type="dxa"/>
                  <w:right w:w="108" w:type="dxa"/>
                </w:tblCellMar>
              </w:tblPrEx>
              <w:trPr>
                <w:trHeight w:val="309" w:hRule="atLeast"/>
              </w:trPr>
              <w:tc>
                <w:tcPr>
                  <w:tcW w:w="691" w:type="dxa"/>
                  <w:tcBorders>
                    <w:top w:val="single" w:color="auto" w:sz="4" w:space="0"/>
                    <w:left w:val="single" w:color="auto" w:sz="4" w:space="0"/>
                    <w:bottom w:val="single" w:color="auto" w:sz="4" w:space="0"/>
                    <w:right w:val="single" w:color="auto" w:sz="4" w:space="0"/>
                  </w:tcBorders>
                  <w:noWrap/>
                  <w:vAlign w:val="center"/>
                </w:tcPr>
                <w:p w14:paraId="3DECA6DF">
                  <w:pPr>
                    <w:pStyle w:val="24"/>
                    <w:keepNext w:val="0"/>
                    <w:keepLines w:val="0"/>
                    <w:suppressLineNumbers w:val="0"/>
                    <w:spacing w:before="0" w:beforeAutospacing="0" w:after="0" w:afterAutospacing="0"/>
                    <w:ind w:left="0" w:right="0"/>
                    <w:rPr>
                      <w:rFonts w:hint="default"/>
                    </w:rPr>
                  </w:pPr>
                  <w:r>
                    <w:rPr>
                      <w:rFonts w:hint="default"/>
                    </w:rPr>
                    <w:t>1</w:t>
                  </w:r>
                </w:p>
              </w:tc>
              <w:tc>
                <w:tcPr>
                  <w:tcW w:w="1314" w:type="dxa"/>
                  <w:tcBorders>
                    <w:top w:val="single" w:color="auto" w:sz="4" w:space="0"/>
                    <w:left w:val="single" w:color="auto" w:sz="4" w:space="0"/>
                    <w:bottom w:val="single" w:color="auto" w:sz="4" w:space="0"/>
                    <w:right w:val="single" w:color="auto" w:sz="4" w:space="0"/>
                  </w:tcBorders>
                  <w:vAlign w:val="center"/>
                </w:tcPr>
                <w:p w14:paraId="04794458">
                  <w:pPr>
                    <w:pStyle w:val="24"/>
                    <w:keepNext w:val="0"/>
                    <w:keepLines w:val="0"/>
                    <w:suppressLineNumbers w:val="0"/>
                    <w:spacing w:before="0" w:beforeAutospacing="0" w:after="0" w:afterAutospacing="0"/>
                    <w:ind w:left="0" w:right="0"/>
                    <w:rPr>
                      <w:rFonts w:hint="default"/>
                    </w:rPr>
                  </w:pPr>
                  <w:r>
                    <w:rPr>
                      <w:rFonts w:hint="default"/>
                    </w:rPr>
                    <w:t>颗粒物</w:t>
                  </w:r>
                </w:p>
              </w:tc>
              <w:tc>
                <w:tcPr>
                  <w:tcW w:w="808" w:type="dxa"/>
                  <w:vMerge w:val="restart"/>
                  <w:tcBorders>
                    <w:top w:val="single" w:color="auto" w:sz="4" w:space="0"/>
                    <w:left w:val="single" w:color="auto" w:sz="4" w:space="0"/>
                    <w:bottom w:val="single" w:color="auto" w:sz="4" w:space="0"/>
                    <w:right w:val="single" w:color="auto" w:sz="4" w:space="0"/>
                  </w:tcBorders>
                  <w:vAlign w:val="center"/>
                </w:tcPr>
                <w:p w14:paraId="7E5BEEDD">
                  <w:pPr>
                    <w:pStyle w:val="24"/>
                    <w:keepNext w:val="0"/>
                    <w:keepLines w:val="0"/>
                    <w:suppressLineNumbers w:val="0"/>
                    <w:spacing w:before="0" w:beforeAutospacing="0" w:after="0" w:afterAutospacing="0"/>
                    <w:ind w:left="0" w:right="0"/>
                    <w:rPr>
                      <w:rFonts w:hint="default"/>
                    </w:rPr>
                  </w:pPr>
                  <w:r>
                    <w:rPr>
                      <w:rFonts w:hint="default"/>
                    </w:rPr>
                    <w:t>15</w:t>
                  </w:r>
                </w:p>
              </w:tc>
              <w:tc>
                <w:tcPr>
                  <w:tcW w:w="1418" w:type="dxa"/>
                  <w:tcBorders>
                    <w:top w:val="single" w:color="auto" w:sz="4" w:space="0"/>
                    <w:left w:val="single" w:color="auto" w:sz="4" w:space="0"/>
                    <w:bottom w:val="single" w:color="auto" w:sz="4" w:space="0"/>
                    <w:right w:val="single" w:color="auto" w:sz="4" w:space="0"/>
                  </w:tcBorders>
                  <w:vAlign w:val="center"/>
                </w:tcPr>
                <w:p w14:paraId="3CDAA586">
                  <w:pPr>
                    <w:pStyle w:val="24"/>
                    <w:keepNext w:val="0"/>
                    <w:keepLines w:val="0"/>
                    <w:suppressLineNumbers w:val="0"/>
                    <w:spacing w:before="0" w:beforeAutospacing="0" w:after="0" w:afterAutospacing="0"/>
                    <w:ind w:left="0" w:right="0"/>
                    <w:rPr>
                      <w:rFonts w:hint="default"/>
                      <w:lang w:val="en-US" w:eastAsia="zh-CN"/>
                    </w:rPr>
                  </w:pPr>
                  <w:r>
                    <w:rPr>
                      <w:rFonts w:hint="eastAsia"/>
                      <w:lang w:val="en-US" w:eastAsia="zh-CN"/>
                    </w:rPr>
                    <w:t>120</w:t>
                  </w:r>
                </w:p>
              </w:tc>
              <w:tc>
                <w:tcPr>
                  <w:tcW w:w="1419" w:type="dxa"/>
                  <w:tcBorders>
                    <w:top w:val="single" w:color="auto" w:sz="4" w:space="0"/>
                    <w:left w:val="single" w:color="auto" w:sz="4" w:space="0"/>
                    <w:bottom w:val="single" w:color="auto" w:sz="4" w:space="0"/>
                    <w:right w:val="single" w:color="auto" w:sz="4" w:space="0"/>
                  </w:tcBorders>
                  <w:vAlign w:val="center"/>
                </w:tcPr>
                <w:p w14:paraId="141C0253">
                  <w:pPr>
                    <w:pStyle w:val="24"/>
                    <w:keepNext w:val="0"/>
                    <w:keepLines w:val="0"/>
                    <w:suppressLineNumbers w:val="0"/>
                    <w:spacing w:before="0" w:beforeAutospacing="0" w:after="0" w:afterAutospacing="0"/>
                    <w:ind w:left="0" w:right="0"/>
                    <w:rPr>
                      <w:rFonts w:hint="default"/>
                    </w:rPr>
                  </w:pPr>
                  <w:r>
                    <w:rPr>
                      <w:rFonts w:hint="default"/>
                    </w:rPr>
                    <w:t>1.5</w:t>
                  </w:r>
                </w:p>
              </w:tc>
              <w:tc>
                <w:tcPr>
                  <w:tcW w:w="2650" w:type="dxa"/>
                  <w:vMerge w:val="restart"/>
                  <w:tcBorders>
                    <w:top w:val="nil"/>
                    <w:left w:val="nil"/>
                    <w:right w:val="single" w:color="auto" w:sz="4" w:space="0"/>
                  </w:tcBorders>
                  <w:vAlign w:val="center"/>
                </w:tcPr>
                <w:p w14:paraId="1D6EAAA5">
                  <w:pPr>
                    <w:pStyle w:val="24"/>
                    <w:keepNext w:val="0"/>
                    <w:keepLines w:val="0"/>
                    <w:suppressLineNumbers w:val="0"/>
                    <w:spacing w:before="0" w:beforeAutospacing="0" w:after="0" w:afterAutospacing="0"/>
                    <w:ind w:left="0" w:right="0"/>
                    <w:rPr>
                      <w:rFonts w:hint="default"/>
                    </w:rPr>
                  </w:pPr>
                  <w:r>
                    <w:rPr>
                      <w:rFonts w:hint="default"/>
                    </w:rPr>
                    <w:t>《大气污染物综合排放标准》</w:t>
                  </w:r>
                  <w:r>
                    <w:rPr>
                      <w:rFonts w:hint="eastAsia"/>
                    </w:rPr>
                    <w:t>（GB16297-1996）</w:t>
                  </w:r>
                </w:p>
              </w:tc>
            </w:tr>
            <w:tr w14:paraId="7EC1462F">
              <w:tblPrEx>
                <w:tblCellMar>
                  <w:top w:w="0" w:type="dxa"/>
                  <w:left w:w="108" w:type="dxa"/>
                  <w:bottom w:w="0" w:type="dxa"/>
                  <w:right w:w="108" w:type="dxa"/>
                </w:tblCellMar>
              </w:tblPrEx>
              <w:trPr>
                <w:trHeight w:val="325" w:hRule="atLeast"/>
              </w:trPr>
              <w:tc>
                <w:tcPr>
                  <w:tcW w:w="691" w:type="dxa"/>
                  <w:tcBorders>
                    <w:top w:val="single" w:color="auto" w:sz="4" w:space="0"/>
                    <w:left w:val="single" w:color="auto" w:sz="4" w:space="0"/>
                    <w:bottom w:val="single" w:color="auto" w:sz="4" w:space="0"/>
                    <w:right w:val="single" w:color="auto" w:sz="4" w:space="0"/>
                  </w:tcBorders>
                  <w:noWrap/>
                  <w:vAlign w:val="center"/>
                </w:tcPr>
                <w:p w14:paraId="15932939">
                  <w:pPr>
                    <w:pStyle w:val="24"/>
                    <w:keepNext w:val="0"/>
                    <w:keepLines w:val="0"/>
                    <w:suppressLineNumbers w:val="0"/>
                    <w:spacing w:before="0" w:beforeAutospacing="0" w:after="0" w:afterAutospacing="0"/>
                    <w:ind w:left="0" w:right="0"/>
                    <w:rPr>
                      <w:rFonts w:hint="eastAsia"/>
                      <w:lang w:eastAsia="zh-CN"/>
                    </w:rPr>
                  </w:pPr>
                  <w:r>
                    <w:rPr>
                      <w:rFonts w:hint="eastAsia"/>
                      <w:lang w:val="en-US" w:eastAsia="zh-CN"/>
                    </w:rPr>
                    <w:t>2</w:t>
                  </w:r>
                </w:p>
              </w:tc>
              <w:tc>
                <w:tcPr>
                  <w:tcW w:w="1314" w:type="dxa"/>
                  <w:tcBorders>
                    <w:top w:val="single" w:color="auto" w:sz="4" w:space="0"/>
                    <w:left w:val="single" w:color="auto" w:sz="4" w:space="0"/>
                    <w:bottom w:val="single" w:color="auto" w:sz="4" w:space="0"/>
                    <w:right w:val="single" w:color="auto" w:sz="4" w:space="0"/>
                  </w:tcBorders>
                  <w:vAlign w:val="center"/>
                </w:tcPr>
                <w:p w14:paraId="17D18A91">
                  <w:pPr>
                    <w:pStyle w:val="24"/>
                    <w:keepNext w:val="0"/>
                    <w:keepLines w:val="0"/>
                    <w:suppressLineNumbers w:val="0"/>
                    <w:spacing w:before="0" w:beforeAutospacing="0" w:after="0" w:afterAutospacing="0"/>
                    <w:ind w:left="0" w:right="0"/>
                    <w:rPr>
                      <w:rFonts w:hint="default"/>
                    </w:rPr>
                  </w:pPr>
                  <w:r>
                    <w:rPr>
                      <w:rFonts w:hint="default"/>
                    </w:rPr>
                    <w:t>非甲烷总烃</w:t>
                  </w:r>
                </w:p>
              </w:tc>
              <w:tc>
                <w:tcPr>
                  <w:tcW w:w="808" w:type="dxa"/>
                  <w:vMerge w:val="continue"/>
                  <w:tcBorders>
                    <w:top w:val="single" w:color="auto" w:sz="4" w:space="0"/>
                    <w:left w:val="single" w:color="auto" w:sz="4" w:space="0"/>
                    <w:bottom w:val="single" w:color="auto" w:sz="4" w:space="0"/>
                    <w:right w:val="single" w:color="auto" w:sz="4" w:space="0"/>
                  </w:tcBorders>
                  <w:vAlign w:val="center"/>
                </w:tcPr>
                <w:p w14:paraId="07BCFBCA">
                  <w:pPr>
                    <w:pStyle w:val="24"/>
                    <w:keepNext w:val="0"/>
                    <w:keepLines w:val="0"/>
                    <w:suppressLineNumbers w:val="0"/>
                    <w:spacing w:before="0" w:beforeAutospacing="0" w:after="0" w:afterAutospacing="0"/>
                    <w:ind w:left="0" w:right="0"/>
                    <w:rPr>
                      <w:rFonts w:hint="default"/>
                    </w:rPr>
                  </w:pPr>
                </w:p>
              </w:tc>
              <w:tc>
                <w:tcPr>
                  <w:tcW w:w="1418" w:type="dxa"/>
                  <w:tcBorders>
                    <w:top w:val="single" w:color="auto" w:sz="4" w:space="0"/>
                    <w:left w:val="single" w:color="auto" w:sz="4" w:space="0"/>
                    <w:bottom w:val="single" w:color="auto" w:sz="4" w:space="0"/>
                    <w:right w:val="single" w:color="auto" w:sz="4" w:space="0"/>
                  </w:tcBorders>
                  <w:vAlign w:val="center"/>
                </w:tcPr>
                <w:p w14:paraId="6E043A45">
                  <w:pPr>
                    <w:pStyle w:val="24"/>
                    <w:keepNext w:val="0"/>
                    <w:keepLines w:val="0"/>
                    <w:suppressLineNumbers w:val="0"/>
                    <w:spacing w:before="0" w:beforeAutospacing="0" w:after="0" w:afterAutospacing="0"/>
                    <w:ind w:left="0" w:right="0"/>
                    <w:rPr>
                      <w:rFonts w:hint="default"/>
                      <w:lang w:val="en-US" w:eastAsia="zh-CN"/>
                    </w:rPr>
                  </w:pPr>
                  <w:r>
                    <w:rPr>
                      <w:rFonts w:hint="eastAsia"/>
                      <w:lang w:val="en-US" w:eastAsia="zh-CN"/>
                    </w:rPr>
                    <w:t>120</w:t>
                  </w:r>
                </w:p>
              </w:tc>
              <w:tc>
                <w:tcPr>
                  <w:tcW w:w="1419" w:type="dxa"/>
                  <w:tcBorders>
                    <w:top w:val="single" w:color="auto" w:sz="4" w:space="0"/>
                    <w:left w:val="single" w:color="auto" w:sz="4" w:space="0"/>
                    <w:bottom w:val="single" w:color="auto" w:sz="4" w:space="0"/>
                    <w:right w:val="single" w:color="auto" w:sz="4" w:space="0"/>
                  </w:tcBorders>
                  <w:vAlign w:val="center"/>
                </w:tcPr>
                <w:p w14:paraId="5BDE02BE">
                  <w:pPr>
                    <w:pStyle w:val="24"/>
                    <w:keepNext w:val="0"/>
                    <w:keepLines w:val="0"/>
                    <w:suppressLineNumbers w:val="0"/>
                    <w:spacing w:before="0" w:beforeAutospacing="0" w:after="0" w:afterAutospacing="0"/>
                    <w:ind w:left="0" w:right="0"/>
                    <w:rPr>
                      <w:rFonts w:hint="default"/>
                    </w:rPr>
                  </w:pPr>
                  <w:r>
                    <w:rPr>
                      <w:rFonts w:hint="default"/>
                    </w:rPr>
                    <w:t>3.0</w:t>
                  </w:r>
                </w:p>
              </w:tc>
              <w:tc>
                <w:tcPr>
                  <w:tcW w:w="2650" w:type="dxa"/>
                  <w:vMerge w:val="continue"/>
                  <w:tcBorders>
                    <w:left w:val="nil"/>
                    <w:bottom w:val="single" w:color="auto" w:sz="4" w:space="0"/>
                    <w:right w:val="single" w:color="auto" w:sz="4" w:space="0"/>
                  </w:tcBorders>
                  <w:vAlign w:val="center"/>
                </w:tcPr>
                <w:p w14:paraId="4EB67976">
                  <w:pPr>
                    <w:pStyle w:val="24"/>
                    <w:keepNext w:val="0"/>
                    <w:keepLines w:val="0"/>
                    <w:suppressLineNumbers w:val="0"/>
                    <w:spacing w:before="0" w:beforeAutospacing="0" w:after="0" w:afterAutospacing="0"/>
                    <w:ind w:left="0" w:right="0"/>
                    <w:rPr>
                      <w:rFonts w:hint="default"/>
                    </w:rPr>
                  </w:pPr>
                </w:p>
              </w:tc>
            </w:tr>
          </w:tbl>
          <w:p w14:paraId="527F028C">
            <w:pPr>
              <w:pStyle w:val="25"/>
              <w:keepNext w:val="0"/>
              <w:keepLines w:val="0"/>
              <w:suppressLineNumbers w:val="0"/>
              <w:spacing w:before="0" w:beforeAutospacing="0" w:after="0" w:afterAutospacing="0"/>
              <w:ind w:left="0" w:right="0" w:firstLine="482"/>
              <w:rPr>
                <w:rFonts w:hint="default"/>
              </w:rPr>
            </w:pPr>
            <w:r>
              <w:rPr>
                <w:rFonts w:hint="default"/>
              </w:rPr>
              <w:t>表</w:t>
            </w:r>
            <w:r>
              <w:rPr>
                <w:rFonts w:hint="eastAsia"/>
                <w:lang w:val="en-US" w:eastAsia="zh-CN"/>
              </w:rPr>
              <w:t>1.2-2</w:t>
            </w:r>
            <w:r>
              <w:rPr>
                <w:rFonts w:hint="default"/>
              </w:rPr>
              <w:t xml:space="preserve"> 项目废气污染物无组织排放限值</w:t>
            </w:r>
            <w:r>
              <w:rPr>
                <w:rFonts w:hint="eastAsia"/>
                <w:lang w:eastAsia="zh-CN"/>
              </w:rPr>
              <w:t>表</w:t>
            </w:r>
            <w:r>
              <w:rPr>
                <w:rFonts w:hint="default"/>
              </w:rPr>
              <w:t xml:space="preserve"> 单位：mg/m3</w:t>
            </w:r>
          </w:p>
          <w:tbl>
            <w:tblPr>
              <w:tblStyle w:val="20"/>
              <w:tblW w:w="8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29"/>
              <w:gridCol w:w="2568"/>
              <w:gridCol w:w="3703"/>
            </w:tblGrid>
            <w:tr w14:paraId="3FE65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 w:hRule="atLeast"/>
              </w:trPr>
              <w:tc>
                <w:tcPr>
                  <w:tcW w:w="2029" w:type="dxa"/>
                  <w:vAlign w:val="center"/>
                </w:tcPr>
                <w:p w14:paraId="112C4D73">
                  <w:pPr>
                    <w:pStyle w:val="24"/>
                    <w:keepNext w:val="0"/>
                    <w:keepLines w:val="0"/>
                    <w:suppressLineNumbers w:val="0"/>
                    <w:spacing w:before="0" w:beforeAutospacing="0" w:after="0" w:afterAutospacing="0"/>
                    <w:ind w:left="0" w:right="0"/>
                    <w:rPr>
                      <w:rFonts w:hint="default"/>
                    </w:rPr>
                  </w:pPr>
                  <w:r>
                    <w:rPr>
                      <w:rFonts w:hint="default"/>
                    </w:rPr>
                    <w:t>污染物名称</w:t>
                  </w:r>
                </w:p>
              </w:tc>
              <w:tc>
                <w:tcPr>
                  <w:tcW w:w="2568" w:type="dxa"/>
                  <w:vAlign w:val="center"/>
                </w:tcPr>
                <w:p w14:paraId="7429908B">
                  <w:pPr>
                    <w:pStyle w:val="24"/>
                    <w:keepNext w:val="0"/>
                    <w:keepLines w:val="0"/>
                    <w:suppressLineNumbers w:val="0"/>
                    <w:spacing w:before="0" w:beforeAutospacing="0" w:after="0" w:afterAutospacing="0"/>
                    <w:ind w:left="0" w:right="0"/>
                    <w:rPr>
                      <w:rFonts w:hint="default"/>
                    </w:rPr>
                  </w:pPr>
                  <w:r>
                    <w:rPr>
                      <w:rFonts w:hint="default"/>
                    </w:rPr>
                    <w:t>厂界监控点浓度限值</w:t>
                  </w:r>
                </w:p>
              </w:tc>
              <w:tc>
                <w:tcPr>
                  <w:tcW w:w="3703" w:type="dxa"/>
                  <w:vAlign w:val="center"/>
                </w:tcPr>
                <w:p w14:paraId="601996DF">
                  <w:pPr>
                    <w:pStyle w:val="24"/>
                    <w:keepNext w:val="0"/>
                    <w:keepLines w:val="0"/>
                    <w:suppressLineNumbers w:val="0"/>
                    <w:spacing w:before="0" w:beforeAutospacing="0" w:after="0" w:afterAutospacing="0"/>
                    <w:ind w:left="0" w:right="0"/>
                    <w:rPr>
                      <w:rFonts w:hint="default"/>
                    </w:rPr>
                  </w:pPr>
                  <w:r>
                    <w:rPr>
                      <w:rFonts w:hint="default"/>
                    </w:rPr>
                    <w:t>标准来源</w:t>
                  </w:r>
                </w:p>
              </w:tc>
            </w:tr>
            <w:tr w14:paraId="2DE2E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 w:hRule="atLeast"/>
              </w:trPr>
              <w:tc>
                <w:tcPr>
                  <w:tcW w:w="2029" w:type="dxa"/>
                  <w:vAlign w:val="center"/>
                </w:tcPr>
                <w:p w14:paraId="6D144440">
                  <w:pPr>
                    <w:pStyle w:val="24"/>
                    <w:keepNext w:val="0"/>
                    <w:keepLines w:val="0"/>
                    <w:suppressLineNumbers w:val="0"/>
                    <w:spacing w:before="0" w:beforeAutospacing="0" w:after="0" w:afterAutospacing="0"/>
                    <w:ind w:left="0" w:right="0"/>
                    <w:rPr>
                      <w:rFonts w:hint="default"/>
                    </w:rPr>
                  </w:pPr>
                  <w:r>
                    <w:rPr>
                      <w:rFonts w:hint="default"/>
                    </w:rPr>
                    <w:t>颗粒物</w:t>
                  </w:r>
                </w:p>
              </w:tc>
              <w:tc>
                <w:tcPr>
                  <w:tcW w:w="2568" w:type="dxa"/>
                  <w:vAlign w:val="center"/>
                </w:tcPr>
                <w:p w14:paraId="76B70D94">
                  <w:pPr>
                    <w:pStyle w:val="24"/>
                    <w:keepNext w:val="0"/>
                    <w:keepLines w:val="0"/>
                    <w:suppressLineNumbers w:val="0"/>
                    <w:spacing w:before="0" w:beforeAutospacing="0" w:after="0" w:afterAutospacing="0"/>
                    <w:ind w:left="0" w:right="0"/>
                    <w:rPr>
                      <w:rFonts w:hint="eastAsia"/>
                      <w:lang w:eastAsia="zh-CN"/>
                    </w:rPr>
                  </w:pPr>
                  <w:r>
                    <w:rPr>
                      <w:rFonts w:hint="eastAsia"/>
                      <w:lang w:val="en-US" w:eastAsia="zh-CN"/>
                    </w:rPr>
                    <w:t>1</w:t>
                  </w:r>
                </w:p>
              </w:tc>
              <w:tc>
                <w:tcPr>
                  <w:tcW w:w="3703" w:type="dxa"/>
                  <w:vMerge w:val="restart"/>
                  <w:vAlign w:val="center"/>
                </w:tcPr>
                <w:p w14:paraId="358774CD">
                  <w:pPr>
                    <w:pStyle w:val="24"/>
                    <w:keepNext w:val="0"/>
                    <w:keepLines w:val="0"/>
                    <w:suppressLineNumbers w:val="0"/>
                    <w:spacing w:before="0" w:beforeAutospacing="0" w:after="0" w:afterAutospacing="0"/>
                    <w:ind w:left="0" w:right="0"/>
                    <w:rPr>
                      <w:rFonts w:hint="default"/>
                    </w:rPr>
                  </w:pPr>
                  <w:r>
                    <w:rPr>
                      <w:rFonts w:hint="default"/>
                    </w:rPr>
                    <w:t>《大气污染物综合排放标准》</w:t>
                  </w:r>
                  <w:r>
                    <w:rPr>
                      <w:rFonts w:hint="eastAsia"/>
                    </w:rPr>
                    <w:t>（GB16297-1996）</w:t>
                  </w:r>
                </w:p>
              </w:tc>
            </w:tr>
            <w:tr w14:paraId="784A6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2029" w:type="dxa"/>
                  <w:vAlign w:val="center"/>
                </w:tcPr>
                <w:p w14:paraId="650620E6">
                  <w:pPr>
                    <w:pStyle w:val="24"/>
                    <w:keepNext w:val="0"/>
                    <w:keepLines w:val="0"/>
                    <w:suppressLineNumbers w:val="0"/>
                    <w:spacing w:before="0" w:beforeAutospacing="0" w:after="0" w:afterAutospacing="0"/>
                    <w:ind w:left="0" w:right="0"/>
                    <w:rPr>
                      <w:rFonts w:hint="default"/>
                    </w:rPr>
                  </w:pPr>
                  <w:r>
                    <w:rPr>
                      <w:rFonts w:hint="default"/>
                    </w:rPr>
                    <w:t>非甲烷总烃</w:t>
                  </w:r>
                </w:p>
              </w:tc>
              <w:tc>
                <w:tcPr>
                  <w:tcW w:w="2568" w:type="dxa"/>
                  <w:vAlign w:val="center"/>
                </w:tcPr>
                <w:p w14:paraId="36248693">
                  <w:pPr>
                    <w:pStyle w:val="24"/>
                    <w:keepNext w:val="0"/>
                    <w:keepLines w:val="0"/>
                    <w:suppressLineNumbers w:val="0"/>
                    <w:spacing w:before="0" w:beforeAutospacing="0" w:after="0" w:afterAutospacing="0"/>
                    <w:ind w:left="0" w:right="0"/>
                    <w:rPr>
                      <w:rFonts w:hint="default"/>
                    </w:rPr>
                  </w:pPr>
                  <w:r>
                    <w:rPr>
                      <w:rFonts w:hint="default"/>
                    </w:rPr>
                    <w:t>4</w:t>
                  </w:r>
                </w:p>
              </w:tc>
              <w:tc>
                <w:tcPr>
                  <w:tcW w:w="3703" w:type="dxa"/>
                  <w:vMerge w:val="continue"/>
                  <w:vAlign w:val="center"/>
                </w:tcPr>
                <w:p w14:paraId="1C95386F">
                  <w:pPr>
                    <w:pStyle w:val="24"/>
                    <w:keepNext w:val="0"/>
                    <w:keepLines w:val="0"/>
                    <w:suppressLineNumbers w:val="0"/>
                    <w:spacing w:before="0" w:beforeAutospacing="0" w:after="0" w:afterAutospacing="0"/>
                    <w:ind w:left="0" w:right="0"/>
                    <w:rPr>
                      <w:rFonts w:hint="default"/>
                    </w:rPr>
                  </w:pPr>
                </w:p>
              </w:tc>
            </w:tr>
          </w:tbl>
          <w:p w14:paraId="71F551A0">
            <w:pPr>
              <w:pStyle w:val="25"/>
              <w:keepNext w:val="0"/>
              <w:keepLines w:val="0"/>
              <w:suppressLineNumbers w:val="0"/>
              <w:spacing w:before="0" w:beforeAutospacing="0" w:after="0" w:afterAutospacing="0"/>
              <w:ind w:left="0" w:right="0" w:firstLine="482"/>
              <w:rPr>
                <w:rFonts w:hint="default"/>
              </w:rPr>
            </w:pPr>
            <w:r>
              <w:rPr>
                <w:rFonts w:hint="default"/>
              </w:rPr>
              <w:t>表</w:t>
            </w:r>
            <w:r>
              <w:rPr>
                <w:rFonts w:hint="eastAsia"/>
                <w:lang w:val="en-US" w:eastAsia="zh-CN"/>
              </w:rPr>
              <w:t>1.2-3</w:t>
            </w:r>
            <w:r>
              <w:rPr>
                <w:rFonts w:hint="default"/>
              </w:rPr>
              <w:t xml:space="preserve"> 厂区内VOCs无组织排放限值</w:t>
            </w:r>
            <w:r>
              <w:rPr>
                <w:rFonts w:hint="eastAsia"/>
                <w:lang w:eastAsia="zh-CN"/>
              </w:rPr>
              <w:t>表</w:t>
            </w:r>
            <w:r>
              <w:rPr>
                <w:rFonts w:hint="default"/>
              </w:rPr>
              <w:t xml:space="preserve"> 单位：mg/m3</w:t>
            </w:r>
          </w:p>
          <w:tbl>
            <w:tblPr>
              <w:tblStyle w:val="20"/>
              <w:tblW w:w="8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3"/>
              <w:gridCol w:w="1584"/>
              <w:gridCol w:w="1914"/>
              <w:gridCol w:w="2749"/>
            </w:tblGrid>
            <w:tr w14:paraId="3FE7C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53" w:type="dxa"/>
                  <w:vAlign w:val="center"/>
                </w:tcPr>
                <w:p w14:paraId="1784C2EF">
                  <w:pPr>
                    <w:pStyle w:val="24"/>
                    <w:keepNext w:val="0"/>
                    <w:keepLines w:val="0"/>
                    <w:suppressLineNumbers w:val="0"/>
                    <w:spacing w:before="0" w:beforeAutospacing="0" w:after="0" w:afterAutospacing="0"/>
                    <w:ind w:left="0" w:right="0"/>
                    <w:rPr>
                      <w:rFonts w:hint="default"/>
                    </w:rPr>
                  </w:pPr>
                  <w:r>
                    <w:rPr>
                      <w:rFonts w:hint="default"/>
                    </w:rPr>
                    <w:t>污染物名称</w:t>
                  </w:r>
                </w:p>
              </w:tc>
              <w:tc>
                <w:tcPr>
                  <w:tcW w:w="1584" w:type="dxa"/>
                  <w:vAlign w:val="center"/>
                </w:tcPr>
                <w:p w14:paraId="24352D6A">
                  <w:pPr>
                    <w:pStyle w:val="24"/>
                    <w:keepNext w:val="0"/>
                    <w:keepLines w:val="0"/>
                    <w:suppressLineNumbers w:val="0"/>
                    <w:spacing w:before="0" w:beforeAutospacing="0" w:after="0" w:afterAutospacing="0"/>
                    <w:ind w:left="0" w:right="0"/>
                    <w:rPr>
                      <w:rFonts w:hint="default"/>
                    </w:rPr>
                  </w:pPr>
                  <w:r>
                    <w:rPr>
                      <w:rFonts w:hint="default"/>
                    </w:rPr>
                    <w:t>特别排放限值</w:t>
                  </w:r>
                </w:p>
              </w:tc>
              <w:tc>
                <w:tcPr>
                  <w:tcW w:w="1914" w:type="dxa"/>
                  <w:vAlign w:val="center"/>
                </w:tcPr>
                <w:p w14:paraId="6DBDC0C9">
                  <w:pPr>
                    <w:pStyle w:val="24"/>
                    <w:keepNext w:val="0"/>
                    <w:keepLines w:val="0"/>
                    <w:suppressLineNumbers w:val="0"/>
                    <w:spacing w:before="0" w:beforeAutospacing="0" w:after="0" w:afterAutospacing="0"/>
                    <w:ind w:left="0" w:right="0"/>
                    <w:rPr>
                      <w:rFonts w:hint="default"/>
                    </w:rPr>
                  </w:pPr>
                  <w:r>
                    <w:rPr>
                      <w:rFonts w:hint="default"/>
                    </w:rPr>
                    <w:t>限值含义</w:t>
                  </w:r>
                </w:p>
              </w:tc>
              <w:tc>
                <w:tcPr>
                  <w:tcW w:w="2749" w:type="dxa"/>
                  <w:vAlign w:val="center"/>
                </w:tcPr>
                <w:p w14:paraId="23F5A950">
                  <w:pPr>
                    <w:pStyle w:val="24"/>
                    <w:keepNext w:val="0"/>
                    <w:keepLines w:val="0"/>
                    <w:suppressLineNumbers w:val="0"/>
                    <w:spacing w:before="0" w:beforeAutospacing="0" w:after="0" w:afterAutospacing="0"/>
                    <w:ind w:left="0" w:right="0"/>
                    <w:rPr>
                      <w:rFonts w:hint="default"/>
                    </w:rPr>
                  </w:pPr>
                  <w:r>
                    <w:rPr>
                      <w:rFonts w:hint="default"/>
                    </w:rPr>
                    <w:t>标准来源</w:t>
                  </w:r>
                </w:p>
              </w:tc>
            </w:tr>
            <w:tr w14:paraId="607C9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53" w:type="dxa"/>
                  <w:vMerge w:val="restart"/>
                  <w:vAlign w:val="center"/>
                </w:tcPr>
                <w:p w14:paraId="313DF652">
                  <w:pPr>
                    <w:pStyle w:val="24"/>
                    <w:keepNext w:val="0"/>
                    <w:keepLines w:val="0"/>
                    <w:suppressLineNumbers w:val="0"/>
                    <w:spacing w:before="0" w:beforeAutospacing="0" w:after="0" w:afterAutospacing="0"/>
                    <w:ind w:left="0" w:right="0"/>
                    <w:rPr>
                      <w:rFonts w:hint="default"/>
                    </w:rPr>
                  </w:pPr>
                  <w:r>
                    <w:rPr>
                      <w:rFonts w:hint="default"/>
                    </w:rPr>
                    <w:t>非甲烷总烃</w:t>
                  </w:r>
                </w:p>
              </w:tc>
              <w:tc>
                <w:tcPr>
                  <w:tcW w:w="1584" w:type="dxa"/>
                  <w:vAlign w:val="center"/>
                </w:tcPr>
                <w:p w14:paraId="6058D642">
                  <w:pPr>
                    <w:pStyle w:val="24"/>
                    <w:keepNext w:val="0"/>
                    <w:keepLines w:val="0"/>
                    <w:suppressLineNumbers w:val="0"/>
                    <w:spacing w:before="0" w:beforeAutospacing="0" w:after="0" w:afterAutospacing="0"/>
                    <w:ind w:left="0" w:right="0"/>
                    <w:rPr>
                      <w:rFonts w:hint="default"/>
                    </w:rPr>
                  </w:pPr>
                  <w:r>
                    <w:rPr>
                      <w:rFonts w:hint="default"/>
                    </w:rPr>
                    <w:t>6</w:t>
                  </w:r>
                </w:p>
              </w:tc>
              <w:tc>
                <w:tcPr>
                  <w:tcW w:w="1914" w:type="dxa"/>
                  <w:vAlign w:val="center"/>
                </w:tcPr>
                <w:p w14:paraId="481DD748">
                  <w:pPr>
                    <w:pStyle w:val="24"/>
                    <w:keepNext w:val="0"/>
                    <w:keepLines w:val="0"/>
                    <w:suppressLineNumbers w:val="0"/>
                    <w:spacing w:before="0" w:beforeAutospacing="0" w:after="0" w:afterAutospacing="0"/>
                    <w:ind w:left="0" w:right="0"/>
                    <w:rPr>
                      <w:rFonts w:hint="default"/>
                    </w:rPr>
                  </w:pPr>
                  <w:r>
                    <w:rPr>
                      <w:rFonts w:hint="default"/>
                    </w:rPr>
                    <w:t>1小时平均</w:t>
                  </w:r>
                </w:p>
              </w:tc>
              <w:tc>
                <w:tcPr>
                  <w:tcW w:w="2749" w:type="dxa"/>
                  <w:vMerge w:val="restart"/>
                  <w:vAlign w:val="center"/>
                </w:tcPr>
                <w:p w14:paraId="11E3DC03">
                  <w:pPr>
                    <w:pStyle w:val="24"/>
                    <w:keepNext w:val="0"/>
                    <w:keepLines w:val="0"/>
                    <w:suppressLineNumbers w:val="0"/>
                    <w:spacing w:before="0" w:beforeAutospacing="0" w:after="0" w:afterAutospacing="0"/>
                    <w:ind w:left="0" w:right="0"/>
                    <w:rPr>
                      <w:rFonts w:hint="default"/>
                    </w:rPr>
                  </w:pPr>
                  <w:r>
                    <w:rPr>
                      <w:rFonts w:hint="default"/>
                    </w:rPr>
                    <w:t>《挥发性有机物无组织排放控制标准》（GB37822-2019）</w:t>
                  </w:r>
                </w:p>
              </w:tc>
            </w:tr>
            <w:tr w14:paraId="0C5BD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53" w:type="dxa"/>
                  <w:vMerge w:val="continue"/>
                  <w:vAlign w:val="center"/>
                </w:tcPr>
                <w:p w14:paraId="6E302C7D">
                  <w:pPr>
                    <w:pStyle w:val="24"/>
                    <w:keepNext w:val="0"/>
                    <w:keepLines w:val="0"/>
                    <w:suppressLineNumbers w:val="0"/>
                    <w:spacing w:before="0" w:beforeAutospacing="0" w:after="0" w:afterAutospacing="0"/>
                    <w:ind w:left="0" w:right="0"/>
                    <w:rPr>
                      <w:rFonts w:hint="default"/>
                    </w:rPr>
                  </w:pPr>
                </w:p>
              </w:tc>
              <w:tc>
                <w:tcPr>
                  <w:tcW w:w="1584" w:type="dxa"/>
                  <w:vAlign w:val="center"/>
                </w:tcPr>
                <w:p w14:paraId="3213477F">
                  <w:pPr>
                    <w:pStyle w:val="24"/>
                    <w:keepNext w:val="0"/>
                    <w:keepLines w:val="0"/>
                    <w:suppressLineNumbers w:val="0"/>
                    <w:spacing w:before="0" w:beforeAutospacing="0" w:after="0" w:afterAutospacing="0"/>
                    <w:ind w:left="0" w:right="0"/>
                    <w:rPr>
                      <w:rFonts w:hint="default"/>
                    </w:rPr>
                  </w:pPr>
                  <w:r>
                    <w:rPr>
                      <w:rFonts w:hint="default"/>
                    </w:rPr>
                    <w:t>20</w:t>
                  </w:r>
                </w:p>
              </w:tc>
              <w:tc>
                <w:tcPr>
                  <w:tcW w:w="1914" w:type="dxa"/>
                  <w:vAlign w:val="center"/>
                </w:tcPr>
                <w:p w14:paraId="0CEB83A0">
                  <w:pPr>
                    <w:pStyle w:val="24"/>
                    <w:keepNext w:val="0"/>
                    <w:keepLines w:val="0"/>
                    <w:suppressLineNumbers w:val="0"/>
                    <w:spacing w:before="0" w:beforeAutospacing="0" w:after="0" w:afterAutospacing="0"/>
                    <w:ind w:left="0" w:right="0"/>
                    <w:rPr>
                      <w:rFonts w:hint="default"/>
                    </w:rPr>
                  </w:pPr>
                  <w:r>
                    <w:rPr>
                      <w:rFonts w:hint="default"/>
                    </w:rPr>
                    <w:t>任意一次浓度值</w:t>
                  </w:r>
                </w:p>
              </w:tc>
              <w:tc>
                <w:tcPr>
                  <w:tcW w:w="2749" w:type="dxa"/>
                  <w:vMerge w:val="continue"/>
                  <w:vAlign w:val="center"/>
                </w:tcPr>
                <w:p w14:paraId="2B0E2FD2">
                  <w:pPr>
                    <w:pStyle w:val="24"/>
                    <w:keepNext w:val="0"/>
                    <w:keepLines w:val="0"/>
                    <w:suppressLineNumbers w:val="0"/>
                    <w:spacing w:before="0" w:beforeAutospacing="0" w:after="0" w:afterAutospacing="0"/>
                    <w:ind w:left="0" w:right="0"/>
                    <w:rPr>
                      <w:rFonts w:hint="default"/>
                    </w:rPr>
                  </w:pPr>
                </w:p>
              </w:tc>
            </w:tr>
          </w:tbl>
          <w:p w14:paraId="6DCB807F">
            <w:pPr>
              <w:pStyle w:val="3"/>
              <w:suppressLineNumbers w:val="0"/>
              <w:bidi w:val="0"/>
              <w:spacing w:before="0" w:beforeAutospacing="0" w:after="0" w:afterAutospacing="0"/>
              <w:ind w:left="0" w:right="0"/>
              <w:rPr>
                <w:rFonts w:hint="default"/>
              </w:rPr>
            </w:pPr>
            <w:r>
              <w:rPr>
                <w:rFonts w:hint="eastAsia"/>
              </w:rPr>
              <w:t xml:space="preserve">1.3 </w:t>
            </w:r>
            <w:r>
              <w:rPr>
                <w:rFonts w:hint="default"/>
              </w:rPr>
              <w:t>噪声污染物排放标准</w:t>
            </w:r>
          </w:p>
          <w:p w14:paraId="2940E562">
            <w:pPr>
              <w:keepNext w:val="0"/>
              <w:keepLines w:val="0"/>
              <w:suppressLineNumbers w:val="0"/>
              <w:bidi w:val="0"/>
              <w:spacing w:before="0" w:beforeAutospacing="0" w:after="0" w:afterAutospacing="0"/>
              <w:ind w:left="0" w:right="0"/>
              <w:rPr>
                <w:rFonts w:hint="default"/>
              </w:rPr>
            </w:pPr>
            <w:r>
              <w:rPr>
                <w:rFonts w:hint="default"/>
              </w:rPr>
              <w:t>本项目厂界</w:t>
            </w:r>
            <w:r>
              <w:rPr>
                <w:rFonts w:hint="eastAsia"/>
              </w:rPr>
              <w:t>东侧</w:t>
            </w:r>
            <w:r>
              <w:rPr>
                <w:rFonts w:hint="default"/>
              </w:rPr>
              <w:t>声环境质量执行《</w:t>
            </w:r>
            <w:r>
              <w:rPr>
                <w:rFonts w:hint="eastAsia"/>
              </w:rPr>
              <w:t>工业企业厂界环境噪声排放标准</w:t>
            </w:r>
            <w:r>
              <w:rPr>
                <w:rFonts w:hint="default"/>
              </w:rPr>
              <w:t>》（GB</w:t>
            </w:r>
            <w:r>
              <w:rPr>
                <w:rFonts w:hint="eastAsia"/>
              </w:rPr>
              <w:t>12348</w:t>
            </w:r>
            <w:r>
              <w:rPr>
                <w:rFonts w:hint="default"/>
              </w:rPr>
              <w:t>-2008）</w:t>
            </w:r>
            <w:r>
              <w:rPr>
                <w:rFonts w:hint="eastAsia"/>
              </w:rPr>
              <w:t>4</w:t>
            </w:r>
            <w:r>
              <w:rPr>
                <w:rFonts w:hint="default"/>
              </w:rPr>
              <w:t>类标准</w:t>
            </w:r>
            <w:r>
              <w:rPr>
                <w:rFonts w:hint="eastAsia"/>
              </w:rPr>
              <w:t>，其余三侧执行</w:t>
            </w:r>
            <w:r>
              <w:rPr>
                <w:rFonts w:hint="default"/>
              </w:rPr>
              <w:t>《</w:t>
            </w:r>
            <w:r>
              <w:rPr>
                <w:rFonts w:hint="eastAsia"/>
              </w:rPr>
              <w:t>工业企业厂界环境噪声排放标准</w:t>
            </w:r>
            <w:r>
              <w:rPr>
                <w:rFonts w:hint="default"/>
              </w:rPr>
              <w:t>》（GB</w:t>
            </w:r>
            <w:r>
              <w:rPr>
                <w:rFonts w:hint="eastAsia"/>
              </w:rPr>
              <w:t>12348</w:t>
            </w:r>
            <w:r>
              <w:rPr>
                <w:rFonts w:hint="default"/>
              </w:rPr>
              <w:t>-2008）</w:t>
            </w:r>
            <w:r>
              <w:rPr>
                <w:rFonts w:hint="eastAsia"/>
              </w:rPr>
              <w:t>2</w:t>
            </w:r>
            <w:r>
              <w:rPr>
                <w:rFonts w:hint="default"/>
              </w:rPr>
              <w:t>类标准。</w:t>
            </w:r>
          </w:p>
          <w:p w14:paraId="67016313">
            <w:pPr>
              <w:pStyle w:val="25"/>
              <w:keepNext w:val="0"/>
              <w:keepLines w:val="0"/>
              <w:suppressLineNumbers w:val="0"/>
              <w:spacing w:before="0" w:beforeAutospacing="0" w:after="0" w:afterAutospacing="0"/>
              <w:ind w:left="0" w:right="0" w:firstLine="482"/>
              <w:rPr>
                <w:rFonts w:hint="default"/>
              </w:rPr>
            </w:pPr>
            <w:r>
              <w:rPr>
                <w:rFonts w:hint="default"/>
              </w:rPr>
              <w:t>表</w:t>
            </w:r>
            <w:r>
              <w:rPr>
                <w:rFonts w:hint="eastAsia"/>
                <w:lang w:val="en-US" w:eastAsia="zh-CN"/>
              </w:rPr>
              <w:t>1.3-1</w:t>
            </w:r>
            <w:r>
              <w:rPr>
                <w:rFonts w:hint="default"/>
              </w:rPr>
              <w:t xml:space="preserve"> 工业企业厂界环境噪声排放限值单位：dB（A）</w:t>
            </w:r>
          </w:p>
          <w:tbl>
            <w:tblPr>
              <w:tblStyle w:val="20"/>
              <w:tblW w:w="82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2"/>
              <w:gridCol w:w="2763"/>
              <w:gridCol w:w="2763"/>
            </w:tblGrid>
            <w:tr w14:paraId="44553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2" w:type="dxa"/>
                  <w:vMerge w:val="restart"/>
                  <w:vAlign w:val="center"/>
                </w:tcPr>
                <w:p w14:paraId="52453DAA">
                  <w:pPr>
                    <w:pStyle w:val="24"/>
                    <w:keepNext w:val="0"/>
                    <w:keepLines w:val="0"/>
                    <w:suppressLineNumbers w:val="0"/>
                    <w:spacing w:before="0" w:beforeAutospacing="0" w:after="0" w:afterAutospacing="0"/>
                    <w:ind w:left="0" w:right="0"/>
                    <w:rPr>
                      <w:rFonts w:hint="default"/>
                    </w:rPr>
                  </w:pPr>
                  <w:r>
                    <w:rPr>
                      <w:rFonts w:hint="default"/>
                    </w:rPr>
                    <w:t>声环境功能区类别</w:t>
                  </w:r>
                </w:p>
              </w:tc>
              <w:tc>
                <w:tcPr>
                  <w:tcW w:w="5526" w:type="dxa"/>
                  <w:gridSpan w:val="2"/>
                  <w:vAlign w:val="center"/>
                </w:tcPr>
                <w:p w14:paraId="33C720C3">
                  <w:pPr>
                    <w:pStyle w:val="24"/>
                    <w:keepNext w:val="0"/>
                    <w:keepLines w:val="0"/>
                    <w:suppressLineNumbers w:val="0"/>
                    <w:spacing w:before="0" w:beforeAutospacing="0" w:after="0" w:afterAutospacing="0"/>
                    <w:ind w:left="0" w:right="0"/>
                    <w:rPr>
                      <w:rFonts w:hint="default"/>
                    </w:rPr>
                  </w:pPr>
                  <w:r>
                    <w:rPr>
                      <w:rFonts w:hint="default"/>
                    </w:rPr>
                    <w:t>时段</w:t>
                  </w:r>
                </w:p>
              </w:tc>
            </w:tr>
            <w:tr w14:paraId="0DB0B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2" w:type="dxa"/>
                  <w:vMerge w:val="continue"/>
                  <w:vAlign w:val="center"/>
                </w:tcPr>
                <w:p w14:paraId="3D54218A">
                  <w:pPr>
                    <w:pStyle w:val="24"/>
                    <w:keepNext w:val="0"/>
                    <w:keepLines w:val="0"/>
                    <w:suppressLineNumbers w:val="0"/>
                    <w:spacing w:before="0" w:beforeAutospacing="0" w:after="0" w:afterAutospacing="0"/>
                    <w:ind w:left="0" w:right="0"/>
                    <w:rPr>
                      <w:rFonts w:hint="default"/>
                    </w:rPr>
                  </w:pPr>
                </w:p>
              </w:tc>
              <w:tc>
                <w:tcPr>
                  <w:tcW w:w="2763" w:type="dxa"/>
                </w:tcPr>
                <w:p w14:paraId="17CB5673">
                  <w:pPr>
                    <w:pStyle w:val="24"/>
                    <w:keepNext w:val="0"/>
                    <w:keepLines w:val="0"/>
                    <w:suppressLineNumbers w:val="0"/>
                    <w:spacing w:before="0" w:beforeAutospacing="0" w:after="0" w:afterAutospacing="0"/>
                    <w:ind w:left="0" w:right="0"/>
                    <w:rPr>
                      <w:rFonts w:hint="default"/>
                    </w:rPr>
                  </w:pPr>
                  <w:r>
                    <w:rPr>
                      <w:rFonts w:hint="default"/>
                    </w:rPr>
                    <w:t>昼间</w:t>
                  </w:r>
                </w:p>
              </w:tc>
              <w:tc>
                <w:tcPr>
                  <w:tcW w:w="2763" w:type="dxa"/>
                </w:tcPr>
                <w:p w14:paraId="0884CCA6">
                  <w:pPr>
                    <w:pStyle w:val="24"/>
                    <w:keepNext w:val="0"/>
                    <w:keepLines w:val="0"/>
                    <w:suppressLineNumbers w:val="0"/>
                    <w:spacing w:before="0" w:beforeAutospacing="0" w:after="0" w:afterAutospacing="0"/>
                    <w:ind w:left="0" w:right="0"/>
                    <w:rPr>
                      <w:rFonts w:hint="default"/>
                    </w:rPr>
                  </w:pPr>
                  <w:r>
                    <w:rPr>
                      <w:rFonts w:hint="default"/>
                    </w:rPr>
                    <w:t>夜间</w:t>
                  </w:r>
                </w:p>
              </w:tc>
            </w:tr>
            <w:tr w14:paraId="69B42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2" w:type="dxa"/>
                  <w:vAlign w:val="center"/>
                </w:tcPr>
                <w:p w14:paraId="76E16CC8">
                  <w:pPr>
                    <w:pStyle w:val="24"/>
                    <w:keepNext w:val="0"/>
                    <w:keepLines w:val="0"/>
                    <w:suppressLineNumbers w:val="0"/>
                    <w:spacing w:before="0" w:beforeAutospacing="0" w:after="0" w:afterAutospacing="0"/>
                    <w:ind w:left="0" w:right="0"/>
                    <w:rPr>
                      <w:rFonts w:hint="default"/>
                    </w:rPr>
                  </w:pPr>
                  <w:r>
                    <w:rPr>
                      <w:rFonts w:hint="default"/>
                    </w:rPr>
                    <w:t>2</w:t>
                  </w:r>
                </w:p>
              </w:tc>
              <w:tc>
                <w:tcPr>
                  <w:tcW w:w="2763" w:type="dxa"/>
                  <w:vAlign w:val="center"/>
                </w:tcPr>
                <w:p w14:paraId="3745B358">
                  <w:pPr>
                    <w:pStyle w:val="24"/>
                    <w:keepNext w:val="0"/>
                    <w:keepLines w:val="0"/>
                    <w:suppressLineNumbers w:val="0"/>
                    <w:spacing w:before="0" w:beforeAutospacing="0" w:after="0" w:afterAutospacing="0"/>
                    <w:ind w:left="0" w:right="0"/>
                    <w:rPr>
                      <w:rFonts w:hint="default"/>
                    </w:rPr>
                  </w:pPr>
                  <w:r>
                    <w:rPr>
                      <w:rFonts w:hint="default"/>
                    </w:rPr>
                    <w:t>60</w:t>
                  </w:r>
                </w:p>
              </w:tc>
              <w:tc>
                <w:tcPr>
                  <w:tcW w:w="2763" w:type="dxa"/>
                  <w:vAlign w:val="center"/>
                </w:tcPr>
                <w:p w14:paraId="44426FCC">
                  <w:pPr>
                    <w:pStyle w:val="24"/>
                    <w:keepNext w:val="0"/>
                    <w:keepLines w:val="0"/>
                    <w:suppressLineNumbers w:val="0"/>
                    <w:spacing w:before="0" w:beforeAutospacing="0" w:after="0" w:afterAutospacing="0"/>
                    <w:ind w:left="0" w:right="0"/>
                    <w:rPr>
                      <w:rFonts w:hint="default"/>
                    </w:rPr>
                  </w:pPr>
                  <w:r>
                    <w:rPr>
                      <w:rFonts w:hint="default"/>
                    </w:rPr>
                    <w:t>50</w:t>
                  </w:r>
                </w:p>
              </w:tc>
            </w:tr>
            <w:tr w14:paraId="7D766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2" w:type="dxa"/>
                  <w:vAlign w:val="center"/>
                </w:tcPr>
                <w:p w14:paraId="00C010DC">
                  <w:pPr>
                    <w:pStyle w:val="24"/>
                    <w:keepNext w:val="0"/>
                    <w:keepLines w:val="0"/>
                    <w:suppressLineNumbers w:val="0"/>
                    <w:spacing w:before="0" w:beforeAutospacing="0" w:after="0" w:afterAutospacing="0"/>
                    <w:ind w:left="0" w:right="0"/>
                    <w:rPr>
                      <w:rFonts w:hint="eastAsia"/>
                      <w:lang w:val="en-US" w:eastAsia="zh-CN"/>
                    </w:rPr>
                  </w:pPr>
                  <w:r>
                    <w:rPr>
                      <w:rFonts w:hint="eastAsia"/>
                      <w:lang w:val="en-US" w:eastAsia="zh-CN"/>
                    </w:rPr>
                    <w:t>4</w:t>
                  </w:r>
                </w:p>
              </w:tc>
              <w:tc>
                <w:tcPr>
                  <w:tcW w:w="2763" w:type="dxa"/>
                  <w:vAlign w:val="center"/>
                </w:tcPr>
                <w:p w14:paraId="0D575FE7">
                  <w:pPr>
                    <w:pStyle w:val="24"/>
                    <w:keepNext w:val="0"/>
                    <w:keepLines w:val="0"/>
                    <w:suppressLineNumbers w:val="0"/>
                    <w:spacing w:before="0" w:beforeAutospacing="0" w:after="0" w:afterAutospacing="0"/>
                    <w:ind w:left="0" w:right="0"/>
                    <w:rPr>
                      <w:rFonts w:hint="default"/>
                      <w:lang w:val="en-US" w:eastAsia="zh-CN"/>
                    </w:rPr>
                  </w:pPr>
                  <w:r>
                    <w:rPr>
                      <w:rFonts w:hint="eastAsia"/>
                      <w:lang w:val="en-US" w:eastAsia="zh-CN"/>
                    </w:rPr>
                    <w:t>70</w:t>
                  </w:r>
                </w:p>
              </w:tc>
              <w:tc>
                <w:tcPr>
                  <w:tcW w:w="2763" w:type="dxa"/>
                  <w:vAlign w:val="center"/>
                </w:tcPr>
                <w:p w14:paraId="4FC71A8B">
                  <w:pPr>
                    <w:pStyle w:val="24"/>
                    <w:keepNext w:val="0"/>
                    <w:keepLines w:val="0"/>
                    <w:suppressLineNumbers w:val="0"/>
                    <w:spacing w:before="0" w:beforeAutospacing="0" w:after="0" w:afterAutospacing="0"/>
                    <w:ind w:left="0" w:right="0"/>
                    <w:rPr>
                      <w:rFonts w:hint="default"/>
                      <w:lang w:val="en-US" w:eastAsia="zh-CN"/>
                    </w:rPr>
                  </w:pPr>
                  <w:r>
                    <w:rPr>
                      <w:rFonts w:hint="eastAsia"/>
                      <w:lang w:val="en-US" w:eastAsia="zh-CN"/>
                    </w:rPr>
                    <w:t>55</w:t>
                  </w:r>
                </w:p>
              </w:tc>
            </w:tr>
          </w:tbl>
          <w:p w14:paraId="559C8126">
            <w:pPr>
              <w:pStyle w:val="3"/>
              <w:suppressLineNumbers w:val="0"/>
              <w:bidi w:val="0"/>
              <w:spacing w:before="0" w:beforeAutospacing="0" w:after="0" w:afterAutospacing="0"/>
              <w:ind w:left="0" w:right="0"/>
              <w:rPr>
                <w:rFonts w:hint="default"/>
              </w:rPr>
            </w:pPr>
            <w:r>
              <w:rPr>
                <w:rFonts w:hint="eastAsia"/>
              </w:rPr>
              <w:t xml:space="preserve">1.4 </w:t>
            </w:r>
            <w:r>
              <w:rPr>
                <w:rFonts w:hint="default"/>
              </w:rPr>
              <w:t>固废污染物排放标准</w:t>
            </w:r>
          </w:p>
          <w:p w14:paraId="561792B7">
            <w:pPr>
              <w:keepNext w:val="0"/>
              <w:keepLines w:val="0"/>
              <w:suppressLineNumbers w:val="0"/>
              <w:spacing w:before="0" w:beforeAutospacing="0" w:after="0" w:afterAutospacing="0"/>
              <w:ind w:left="0" w:right="0" w:firstLine="480"/>
              <w:rPr>
                <w:rFonts w:hint="default"/>
              </w:rPr>
            </w:pPr>
            <w:r>
              <w:rPr>
                <w:rFonts w:hint="default"/>
              </w:rPr>
              <w:t>固废按照《中华人民共和国固体废物污染环境防治法》中有关规定执行。危险废物执行《危险废物贮存污染控制标准》（GB18597-20</w:t>
            </w:r>
            <w:r>
              <w:rPr>
                <w:rFonts w:hint="eastAsia"/>
                <w:lang w:val="en-US" w:eastAsia="zh-CN"/>
              </w:rPr>
              <w:t>23</w:t>
            </w:r>
            <w:r>
              <w:rPr>
                <w:rFonts w:hint="default"/>
              </w:rPr>
              <w:t>）</w:t>
            </w:r>
            <w:r>
              <w:rPr>
                <w:rFonts w:hint="eastAsia"/>
                <w:lang w:eastAsia="zh-CN"/>
              </w:rPr>
              <w:t>，</w:t>
            </w:r>
            <w:r>
              <w:rPr>
                <w:rFonts w:hint="default"/>
              </w:rPr>
              <w:t>一般工业固体废物执行《一般工业固体废物贮存和填埋污染控制标准》（GB18599-2020）</w:t>
            </w:r>
            <w:r>
              <w:rPr>
                <w:rFonts w:hint="default"/>
                <w:lang w:eastAsia="zh-CN"/>
              </w:rPr>
              <w:t>，</w:t>
            </w:r>
            <w:r>
              <w:rPr>
                <w:rFonts w:hint="default"/>
              </w:rPr>
              <w:t>其中采用库房、包装工具（罐、桶、包装袋等）贮存一般工业固体废物过程的污染控制，不适用《一般工业固体废物贮存和填埋污染控制标准》(GB 18599-2020)，其贮存过程应满足相应防渗漏、防雨淋、防扬尘等环境保护要求。</w:t>
            </w:r>
          </w:p>
          <w:p w14:paraId="273B3576">
            <w:pPr>
              <w:pStyle w:val="3"/>
              <w:suppressLineNumbers w:val="0"/>
              <w:bidi w:val="0"/>
              <w:spacing w:before="0" w:beforeAutospacing="0" w:after="0" w:afterAutospacing="0"/>
              <w:ind w:left="0" w:right="0"/>
              <w:rPr>
                <w:rFonts w:hint="default"/>
              </w:rPr>
            </w:pPr>
            <w:r>
              <w:rPr>
                <w:rFonts w:hint="eastAsia"/>
              </w:rPr>
              <w:t>1.5</w:t>
            </w:r>
            <w:r>
              <w:rPr>
                <w:rFonts w:hint="eastAsia"/>
                <w:lang w:val="en-US" w:eastAsia="zh-CN"/>
              </w:rPr>
              <w:t xml:space="preserve"> </w:t>
            </w:r>
            <w:r>
              <w:rPr>
                <w:rFonts w:hint="eastAsia"/>
              </w:rPr>
              <w:t>总量控制指标</w:t>
            </w:r>
          </w:p>
          <w:p w14:paraId="096561AE">
            <w:pPr>
              <w:keepNext w:val="0"/>
              <w:keepLines w:val="0"/>
              <w:suppressLineNumbers w:val="0"/>
              <w:bidi w:val="0"/>
              <w:spacing w:before="0" w:beforeAutospacing="0" w:after="0" w:afterAutospacing="0"/>
              <w:ind w:left="0" w:right="0"/>
              <w:rPr>
                <w:rFonts w:hint="default"/>
                <w:lang w:val="zh-CN"/>
              </w:rPr>
            </w:pPr>
            <w:r>
              <w:rPr>
                <w:rFonts w:hint="eastAsia"/>
                <w:lang w:val="en-US" w:eastAsia="zh-CN"/>
              </w:rPr>
              <w:t>根据</w:t>
            </w:r>
            <w:r>
              <w:rPr>
                <w:rFonts w:hint="default"/>
                <w:lang w:eastAsia="zh-CN"/>
              </w:rPr>
              <w:t>安庆</w:t>
            </w:r>
            <w:r>
              <w:rPr>
                <w:rFonts w:hint="default"/>
                <w:lang w:val="en-US" w:eastAsia="zh-CN"/>
              </w:rPr>
              <w:t>市大观区生态环境分</w:t>
            </w:r>
            <w:r>
              <w:rPr>
                <w:rFonts w:hint="default"/>
                <w:lang w:eastAsia="zh-CN"/>
              </w:rPr>
              <w:t>局</w:t>
            </w:r>
            <w:r>
              <w:rPr>
                <w:rFonts w:hint="default"/>
                <w:lang w:val="en-US" w:eastAsia="zh-CN"/>
              </w:rPr>
              <w:t>《关于安庆帝伯格茨活塞环有限公司端面密封件生产线提升与智能化改造项目环境影响报告表审查意见的函</w:t>
            </w:r>
            <w:r>
              <w:rPr>
                <w:rFonts w:hint="default"/>
              </w:rPr>
              <w:t>》</w:t>
            </w:r>
            <w:r>
              <w:rPr>
                <w:rFonts w:hint="default"/>
                <w:lang w:eastAsia="zh-CN"/>
              </w:rPr>
              <w:t>（观环建函〔202</w:t>
            </w:r>
            <w:r>
              <w:rPr>
                <w:rFonts w:hint="eastAsia"/>
                <w:lang w:val="en-US" w:eastAsia="zh-CN"/>
              </w:rPr>
              <w:t>2</w:t>
            </w:r>
            <w:r>
              <w:rPr>
                <w:rFonts w:hint="default"/>
                <w:lang w:eastAsia="zh-CN"/>
              </w:rPr>
              <w:t>〕</w:t>
            </w:r>
            <w:r>
              <w:rPr>
                <w:rFonts w:hint="eastAsia"/>
                <w:lang w:val="en-US" w:eastAsia="zh-CN"/>
              </w:rPr>
              <w:t>3</w:t>
            </w:r>
            <w:r>
              <w:rPr>
                <w:rFonts w:hint="default"/>
                <w:lang w:eastAsia="zh-CN"/>
              </w:rPr>
              <w:t>号）</w:t>
            </w:r>
            <w:r>
              <w:rPr>
                <w:rFonts w:hint="eastAsia"/>
                <w:lang w:val="en-US" w:eastAsia="zh-CN"/>
              </w:rPr>
              <w:t>，</w:t>
            </w:r>
            <w:r>
              <w:rPr>
                <w:rFonts w:hint="default"/>
                <w:lang w:val="zh-CN"/>
              </w:rPr>
              <w:t>本项目</w:t>
            </w:r>
            <w:r>
              <w:rPr>
                <w:rFonts w:hint="eastAsia"/>
                <w:lang w:val="zh-CN"/>
              </w:rPr>
              <w:t>各污染物总量不得高于《报告表》中申请量，则本项目新增总量如下：</w:t>
            </w:r>
          </w:p>
          <w:p w14:paraId="56E9D961">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宋体"/>
                <w:b/>
                <w:bCs w:val="0"/>
                <w:kern w:val="0"/>
                <w:sz w:val="24"/>
                <w:szCs w:val="21"/>
                <w:lang w:val="en-US" w:eastAsia="zh-CN" w:bidi="ar"/>
              </w:rPr>
            </w:pPr>
            <w:r>
              <w:rPr>
                <w:rFonts w:hint="default" w:ascii="Times New Roman" w:hAnsi="Times New Roman" w:eastAsia="宋体" w:cs="宋体"/>
                <w:b/>
                <w:bCs w:val="0"/>
                <w:kern w:val="0"/>
                <w:sz w:val="24"/>
                <w:szCs w:val="21"/>
                <w:lang w:val="en-US" w:eastAsia="zh-CN" w:bidi="ar"/>
              </w:rPr>
              <w:t>表</w:t>
            </w:r>
            <w:r>
              <w:rPr>
                <w:rFonts w:hint="eastAsia" w:ascii="Times New Roman" w:hAnsi="Times New Roman" w:eastAsia="宋体" w:cs="宋体"/>
                <w:b/>
                <w:bCs w:val="0"/>
                <w:kern w:val="0"/>
                <w:sz w:val="24"/>
                <w:szCs w:val="21"/>
                <w:lang w:val="en-US" w:eastAsia="zh-CN" w:bidi="ar"/>
              </w:rPr>
              <w:t>1.5-1</w:t>
            </w:r>
            <w:r>
              <w:rPr>
                <w:rFonts w:hint="default" w:ascii="Times New Roman" w:hAnsi="Times New Roman" w:eastAsia="宋体" w:cs="宋体"/>
                <w:b/>
                <w:bCs w:val="0"/>
                <w:kern w:val="0"/>
                <w:sz w:val="24"/>
                <w:szCs w:val="21"/>
                <w:lang w:val="en-US" w:eastAsia="zh-CN" w:bidi="ar"/>
              </w:rPr>
              <w:t xml:space="preserve"> 项目总量指标情况一览表</w:t>
            </w:r>
          </w:p>
          <w:tbl>
            <w:tblPr>
              <w:tblStyle w:val="19"/>
              <w:tblW w:w="4808" w:type="pct"/>
              <w:tblInd w:w="0" w:type="dxa"/>
              <w:tblLayout w:type="autofit"/>
              <w:tblCellMar>
                <w:top w:w="0" w:type="dxa"/>
                <w:left w:w="108" w:type="dxa"/>
                <w:bottom w:w="0" w:type="dxa"/>
                <w:right w:w="108" w:type="dxa"/>
              </w:tblCellMar>
            </w:tblPr>
            <w:tblGrid>
              <w:gridCol w:w="1389"/>
              <w:gridCol w:w="2919"/>
              <w:gridCol w:w="3718"/>
            </w:tblGrid>
            <w:tr w14:paraId="47FE2BC3">
              <w:tblPrEx>
                <w:tblCellMar>
                  <w:top w:w="0" w:type="dxa"/>
                  <w:left w:w="108" w:type="dxa"/>
                  <w:bottom w:w="0" w:type="dxa"/>
                  <w:right w:w="108" w:type="dxa"/>
                </w:tblCellMar>
              </w:tblPrEx>
              <w:trPr>
                <w:trHeight w:val="253" w:hRule="atLeast"/>
              </w:trPr>
              <w:tc>
                <w:tcPr>
                  <w:tcW w:w="865" w:type="pct"/>
                  <w:tcBorders>
                    <w:top w:val="single" w:color="auto" w:sz="4" w:space="0"/>
                    <w:left w:val="single" w:color="auto" w:sz="4" w:space="0"/>
                    <w:bottom w:val="single" w:color="auto" w:sz="4" w:space="0"/>
                    <w:right w:val="single" w:color="auto" w:sz="4" w:space="0"/>
                  </w:tcBorders>
                  <w:vAlign w:val="center"/>
                </w:tcPr>
                <w:p w14:paraId="7CD2C92B">
                  <w:pPr>
                    <w:pStyle w:val="24"/>
                    <w:keepNext w:val="0"/>
                    <w:keepLines w:val="0"/>
                    <w:suppressLineNumbers w:val="0"/>
                    <w:bidi w:val="0"/>
                    <w:spacing w:before="0" w:beforeAutospacing="0" w:after="0" w:afterAutospacing="0"/>
                    <w:ind w:left="0" w:right="0"/>
                    <w:rPr>
                      <w:rFonts w:hint="default"/>
                    </w:rPr>
                  </w:pPr>
                  <w:r>
                    <w:rPr>
                      <w:rFonts w:hint="default"/>
                    </w:rPr>
                    <w:t>序号</w:t>
                  </w:r>
                </w:p>
              </w:tc>
              <w:tc>
                <w:tcPr>
                  <w:tcW w:w="1818" w:type="pct"/>
                  <w:tcBorders>
                    <w:top w:val="single" w:color="auto" w:sz="4" w:space="0"/>
                    <w:left w:val="nil"/>
                    <w:bottom w:val="single" w:color="auto" w:sz="4" w:space="0"/>
                    <w:right w:val="single" w:color="auto" w:sz="4" w:space="0"/>
                  </w:tcBorders>
                  <w:vAlign w:val="center"/>
                </w:tcPr>
                <w:p w14:paraId="21908D9D">
                  <w:pPr>
                    <w:pStyle w:val="24"/>
                    <w:keepNext w:val="0"/>
                    <w:keepLines w:val="0"/>
                    <w:suppressLineNumbers w:val="0"/>
                    <w:bidi w:val="0"/>
                    <w:spacing w:before="0" w:beforeAutospacing="0" w:after="0" w:afterAutospacing="0"/>
                    <w:ind w:left="0" w:right="0"/>
                    <w:rPr>
                      <w:rFonts w:hint="default"/>
                    </w:rPr>
                  </w:pPr>
                  <w:r>
                    <w:rPr>
                      <w:rFonts w:hint="default"/>
                    </w:rPr>
                    <w:t>项目</w:t>
                  </w:r>
                </w:p>
              </w:tc>
              <w:tc>
                <w:tcPr>
                  <w:tcW w:w="2315" w:type="pct"/>
                  <w:tcBorders>
                    <w:top w:val="single" w:color="auto" w:sz="4" w:space="0"/>
                    <w:left w:val="nil"/>
                    <w:bottom w:val="single" w:color="auto" w:sz="4" w:space="0"/>
                    <w:right w:val="single" w:color="auto" w:sz="4" w:space="0"/>
                  </w:tcBorders>
                  <w:vAlign w:val="center"/>
                </w:tcPr>
                <w:p w14:paraId="7AA05BF5">
                  <w:pPr>
                    <w:pStyle w:val="24"/>
                    <w:keepNext w:val="0"/>
                    <w:keepLines w:val="0"/>
                    <w:suppressLineNumbers w:val="0"/>
                    <w:bidi w:val="0"/>
                    <w:spacing w:before="0" w:beforeAutospacing="0" w:after="0" w:afterAutospacing="0"/>
                    <w:ind w:left="0" w:right="0"/>
                    <w:rPr>
                      <w:rFonts w:hint="default"/>
                    </w:rPr>
                  </w:pPr>
                  <w:r>
                    <w:rPr>
                      <w:rFonts w:hint="default"/>
                    </w:rPr>
                    <w:t>本项目</w:t>
                  </w:r>
                </w:p>
              </w:tc>
            </w:tr>
            <w:tr w14:paraId="1863143D">
              <w:tblPrEx>
                <w:tblCellMar>
                  <w:top w:w="0" w:type="dxa"/>
                  <w:left w:w="108" w:type="dxa"/>
                  <w:bottom w:w="0" w:type="dxa"/>
                  <w:right w:w="108" w:type="dxa"/>
                </w:tblCellMar>
              </w:tblPrEx>
              <w:trPr>
                <w:trHeight w:val="253" w:hRule="atLeast"/>
              </w:trPr>
              <w:tc>
                <w:tcPr>
                  <w:tcW w:w="865" w:type="pct"/>
                  <w:tcBorders>
                    <w:top w:val="single" w:color="auto" w:sz="4" w:space="0"/>
                    <w:left w:val="single" w:color="auto" w:sz="4" w:space="0"/>
                    <w:bottom w:val="single" w:color="auto" w:sz="4" w:space="0"/>
                    <w:right w:val="single" w:color="auto" w:sz="4" w:space="0"/>
                  </w:tcBorders>
                  <w:vAlign w:val="center"/>
                </w:tcPr>
                <w:p w14:paraId="00426214">
                  <w:pPr>
                    <w:pStyle w:val="2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w:t>
                  </w:r>
                </w:p>
              </w:tc>
              <w:tc>
                <w:tcPr>
                  <w:tcW w:w="1818" w:type="pct"/>
                  <w:tcBorders>
                    <w:top w:val="single" w:color="auto" w:sz="4" w:space="0"/>
                    <w:left w:val="nil"/>
                    <w:bottom w:val="single" w:color="auto" w:sz="4" w:space="0"/>
                    <w:right w:val="single" w:color="auto" w:sz="4" w:space="0"/>
                  </w:tcBorders>
                  <w:vAlign w:val="center"/>
                </w:tcPr>
                <w:p w14:paraId="23ECE0BC">
                  <w:pPr>
                    <w:pStyle w:val="2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COD</w:t>
                  </w:r>
                </w:p>
              </w:tc>
              <w:tc>
                <w:tcPr>
                  <w:tcW w:w="2315" w:type="pct"/>
                  <w:tcBorders>
                    <w:top w:val="single" w:color="auto" w:sz="4" w:space="0"/>
                    <w:left w:val="nil"/>
                    <w:bottom w:val="single" w:color="auto" w:sz="4" w:space="0"/>
                    <w:right w:val="single" w:color="auto" w:sz="4" w:space="0"/>
                  </w:tcBorders>
                  <w:vAlign w:val="center"/>
                </w:tcPr>
                <w:p w14:paraId="66AFE908">
                  <w:pPr>
                    <w:pStyle w:val="2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0.0</w:t>
                  </w:r>
                  <w:r>
                    <w:rPr>
                      <w:rFonts w:hint="eastAsia"/>
                      <w:lang w:val="en-US" w:eastAsia="zh-CN"/>
                    </w:rPr>
                    <w:t>265</w:t>
                  </w:r>
                  <w:r>
                    <w:rPr>
                      <w:rFonts w:hint="default"/>
                    </w:rPr>
                    <w:t>t/a</w:t>
                  </w:r>
                </w:p>
              </w:tc>
            </w:tr>
            <w:tr w14:paraId="1D383E20">
              <w:tblPrEx>
                <w:tblCellMar>
                  <w:top w:w="0" w:type="dxa"/>
                  <w:left w:w="108" w:type="dxa"/>
                  <w:bottom w:w="0" w:type="dxa"/>
                  <w:right w:w="108" w:type="dxa"/>
                </w:tblCellMar>
              </w:tblPrEx>
              <w:trPr>
                <w:trHeight w:val="253" w:hRule="atLeast"/>
              </w:trPr>
              <w:tc>
                <w:tcPr>
                  <w:tcW w:w="865" w:type="pct"/>
                  <w:tcBorders>
                    <w:top w:val="single" w:color="auto" w:sz="4" w:space="0"/>
                    <w:left w:val="single" w:color="auto" w:sz="4" w:space="0"/>
                    <w:bottom w:val="single" w:color="auto" w:sz="4" w:space="0"/>
                    <w:right w:val="single" w:color="auto" w:sz="4" w:space="0"/>
                  </w:tcBorders>
                  <w:vAlign w:val="center"/>
                </w:tcPr>
                <w:p w14:paraId="7F2021C2">
                  <w:pPr>
                    <w:pStyle w:val="2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w:t>
                  </w:r>
                </w:p>
              </w:tc>
              <w:tc>
                <w:tcPr>
                  <w:tcW w:w="1818" w:type="pct"/>
                  <w:tcBorders>
                    <w:top w:val="single" w:color="auto" w:sz="4" w:space="0"/>
                    <w:left w:val="nil"/>
                    <w:bottom w:val="single" w:color="auto" w:sz="4" w:space="0"/>
                    <w:right w:val="single" w:color="auto" w:sz="4" w:space="0"/>
                  </w:tcBorders>
                  <w:vAlign w:val="center"/>
                </w:tcPr>
                <w:p w14:paraId="4F87B628">
                  <w:pPr>
                    <w:pStyle w:val="2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氨氮</w:t>
                  </w:r>
                </w:p>
              </w:tc>
              <w:tc>
                <w:tcPr>
                  <w:tcW w:w="2315" w:type="pct"/>
                  <w:tcBorders>
                    <w:top w:val="single" w:color="auto" w:sz="4" w:space="0"/>
                    <w:left w:val="nil"/>
                    <w:bottom w:val="single" w:color="auto" w:sz="4" w:space="0"/>
                    <w:right w:val="single" w:color="auto" w:sz="4" w:space="0"/>
                  </w:tcBorders>
                  <w:vAlign w:val="center"/>
                </w:tcPr>
                <w:p w14:paraId="7FD84164">
                  <w:pPr>
                    <w:pStyle w:val="24"/>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0.00</w:t>
                  </w:r>
                  <w:r>
                    <w:rPr>
                      <w:rFonts w:hint="eastAsia"/>
                      <w:lang w:val="en-US" w:eastAsia="zh-CN"/>
                    </w:rPr>
                    <w:t>27</w:t>
                  </w:r>
                  <w:r>
                    <w:rPr>
                      <w:rFonts w:hint="default"/>
                    </w:rPr>
                    <w:t>t/a</w:t>
                  </w:r>
                </w:p>
              </w:tc>
            </w:tr>
          </w:tbl>
          <w:p w14:paraId="4DA9CA2D">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0FAC76AF">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22DEFD4D">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2F141225">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0BFBFC70">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1A9D87A2">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508ED225">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54B02FBD">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1B13EE88">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0E38C594">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0F214E19">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18F47F3B">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1E75BDD1">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07CF4810">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15450F19">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4EF9D4CA">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44CAC8A6">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05864F81">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7FF14A07">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69206762">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185369B8">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33EB1ACE">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7725CB01">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490D66CE">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22F9E0BE">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62AE5880">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6CF07C1A">
            <w:pPr>
              <w:keepNext/>
              <w:keepLines/>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eastAsia="Times New Roman"/>
                <w:color w:val="000000"/>
                <w:sz w:val="24"/>
                <w:lang w:val="zh-CN"/>
              </w:rPr>
            </w:pPr>
          </w:p>
          <w:p w14:paraId="4FF0FBA9">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p>
        </w:tc>
      </w:tr>
    </w:tbl>
    <w:p w14:paraId="5E1FE33C">
      <w:pPr>
        <w:pStyle w:val="2"/>
        <w:bidi w:val="0"/>
        <w:rPr>
          <w:rStyle w:val="46"/>
          <w:rFonts w:hint="eastAsia" w:eastAsiaTheme="majorEastAsia"/>
          <w:b/>
          <w:bCs/>
          <w:lang w:eastAsia="zh-CN"/>
        </w:rPr>
      </w:pPr>
      <w:r>
        <w:rPr>
          <w:rStyle w:val="47"/>
          <w:b/>
          <w:bCs/>
        </w:rPr>
        <w:t>表</w:t>
      </w:r>
      <w:r>
        <w:rPr>
          <w:rStyle w:val="47"/>
          <w:rFonts w:hint="eastAsia"/>
          <w:b/>
          <w:bCs/>
          <w:lang w:eastAsia="zh-CN"/>
        </w:rPr>
        <w:t>二</w:t>
      </w:r>
    </w:p>
    <w:tbl>
      <w:tblPr>
        <w:tblStyle w:val="19"/>
        <w:tblW w:w="8900"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00"/>
      </w:tblGrid>
      <w:tr w14:paraId="458AA7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726" w:hRule="atLeast"/>
        </w:trPr>
        <w:tc>
          <w:tcPr>
            <w:tcW w:w="8900" w:type="dxa"/>
            <w:vAlign w:val="top"/>
          </w:tcPr>
          <w:p w14:paraId="7BBF69D0">
            <w:pPr>
              <w:pStyle w:val="3"/>
              <w:suppressLineNumbers w:val="0"/>
              <w:bidi w:val="0"/>
              <w:spacing w:before="0" w:beforeAutospacing="0" w:after="0" w:afterAutospacing="0"/>
              <w:ind w:left="0" w:right="0"/>
              <w:rPr>
                <w:rFonts w:hint="default"/>
              </w:rPr>
            </w:pPr>
            <w:r>
              <w:rPr>
                <w:rFonts w:hint="eastAsia"/>
              </w:rPr>
              <w:t>2.1工程建设内容</w:t>
            </w:r>
          </w:p>
          <w:p w14:paraId="4926DECB">
            <w:pPr>
              <w:pStyle w:val="4"/>
              <w:suppressLineNumbers w:val="0"/>
              <w:bidi w:val="0"/>
              <w:spacing w:before="0" w:beforeAutospacing="0" w:after="0" w:afterAutospacing="0"/>
              <w:ind w:left="0" w:right="0"/>
              <w:rPr>
                <w:rFonts w:hint="default"/>
              </w:rPr>
            </w:pPr>
            <w:r>
              <w:rPr>
                <w:rFonts w:hint="eastAsia"/>
              </w:rPr>
              <w:t>2.1.1项目由来简述</w:t>
            </w:r>
          </w:p>
          <w:p w14:paraId="1685C76F">
            <w:pPr>
              <w:keepNext/>
              <w:keepLines/>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bidi="ar"/>
              </w:rPr>
            </w:pPr>
            <w:r>
              <w:rPr>
                <w:rFonts w:hint="default" w:ascii="Times New Roman" w:hAnsi="Times New Roman" w:eastAsia="宋体" w:cs="Times New Roman"/>
                <w:sz w:val="24"/>
                <w:szCs w:val="24"/>
                <w:lang w:val="en-US" w:eastAsia="zh-CN" w:bidi="ar"/>
              </w:rPr>
              <w:fldChar w:fldCharType="begin"/>
            </w:r>
            <w:r>
              <w:rPr>
                <w:rFonts w:hint="default" w:ascii="Times New Roman" w:hAnsi="Times New Roman" w:eastAsia="宋体" w:cs="Times New Roman"/>
                <w:sz w:val="24"/>
                <w:szCs w:val="24"/>
                <w:lang w:val="en-US" w:eastAsia="zh-CN" w:bidi="ar"/>
              </w:rPr>
              <w:instrText xml:space="preserve"> HYPERLINK "http://www.aqatg.com/" \o "ATG,ATG活塞环,安庆活塞环,活塞环" </w:instrText>
            </w:r>
            <w:r>
              <w:rPr>
                <w:rFonts w:hint="default" w:ascii="Times New Roman" w:hAnsi="Times New Roman" w:eastAsia="宋体" w:cs="Times New Roman"/>
                <w:sz w:val="24"/>
                <w:szCs w:val="24"/>
                <w:lang w:val="en-US" w:eastAsia="zh-CN" w:bidi="ar"/>
              </w:rPr>
              <w:fldChar w:fldCharType="separate"/>
            </w:r>
            <w:r>
              <w:rPr>
                <w:rFonts w:hint="eastAsia" w:ascii="Times New Roman" w:hAnsi="Times New Roman" w:eastAsia="宋体" w:cs="Times New Roman"/>
                <w:sz w:val="24"/>
                <w:szCs w:val="24"/>
                <w:lang w:val="en-US" w:eastAsia="zh-CN" w:bidi="ar"/>
              </w:rPr>
              <w:t>安庆帝伯格茨活塞环有限公司（</w:t>
            </w:r>
            <w:r>
              <w:rPr>
                <w:rFonts w:hint="default" w:ascii="Times New Roman" w:hAnsi="Times New Roman" w:eastAsia="宋体" w:cs="Times New Roman"/>
                <w:sz w:val="24"/>
                <w:szCs w:val="24"/>
                <w:lang w:val="en-US" w:eastAsia="zh-CN" w:bidi="ar"/>
              </w:rPr>
              <w:t>ATG</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fldChar w:fldCharType="end"/>
            </w:r>
            <w:r>
              <w:rPr>
                <w:rFonts w:hint="eastAsia" w:ascii="Times New Roman" w:hAnsi="Times New Roman" w:eastAsia="宋体" w:cs="Times New Roman"/>
                <w:sz w:val="24"/>
                <w:szCs w:val="24"/>
                <w:lang w:val="en-US" w:eastAsia="zh-CN" w:bidi="ar"/>
              </w:rPr>
              <w:t>投资2000万元，实施</w:t>
            </w:r>
            <w:r>
              <w:rPr>
                <w:rFonts w:hint="default" w:ascii="Times New Roman" w:hAnsi="Times New Roman" w:cs="Times New Roman"/>
                <w:szCs w:val="21"/>
                <w:lang w:eastAsia="zh-CN"/>
              </w:rPr>
              <w:t>端面密封件生产线提升与智能化</w:t>
            </w:r>
            <w:r>
              <w:rPr>
                <w:rFonts w:hint="default" w:ascii="Times New Roman" w:hAnsi="Times New Roman" w:cs="Times New Roman"/>
                <w:szCs w:val="21"/>
              </w:rPr>
              <w:t>改造项目</w:t>
            </w:r>
            <w:r>
              <w:rPr>
                <w:rFonts w:hint="eastAsia" w:ascii="Times New Roman" w:hAnsi="Times New Roman" w:eastAsia="宋体" w:cs="Times New Roman"/>
                <w:sz w:val="24"/>
                <w:szCs w:val="24"/>
                <w:lang w:val="en-US" w:eastAsia="zh-CN" w:bidi="ar"/>
              </w:rPr>
              <w:t>，在原有生产线进行效率提升与智能化改造，利用原有端面密封件生产线厂房以及该厂房北侧空置厂房，引进自动梯面磨床设备，背面行磨和外圆抛光设备，实现端面密封件生产线效率提升与智能化改造，形成新增年产196万片端面密封件生产能力。</w:t>
            </w:r>
          </w:p>
          <w:p w14:paraId="536BE79F">
            <w:pPr>
              <w:keepNext w:val="0"/>
              <w:keepLines w:val="0"/>
              <w:suppressLineNumbers w:val="0"/>
              <w:bidi w:val="0"/>
              <w:spacing w:before="0" w:beforeAutospacing="0" w:after="0" w:afterAutospacing="0"/>
              <w:ind w:left="0" w:right="0"/>
              <w:rPr>
                <w:rFonts w:hint="default"/>
                <w:lang w:val="en-US" w:eastAsia="zh-CN"/>
              </w:rPr>
            </w:pPr>
            <w:r>
              <w:rPr>
                <w:rFonts w:hint="eastAsia" w:ascii="Times New Roman" w:hAnsi="Times New Roman" w:eastAsia="宋体" w:cs="Times New Roman"/>
                <w:szCs w:val="24"/>
                <w:lang w:val="en-US" w:eastAsia="zh-CN" w:bidi="ar"/>
              </w:rPr>
              <w:t>项目</w:t>
            </w:r>
            <w:r>
              <w:rPr>
                <w:rFonts w:hint="default" w:ascii="Times New Roman" w:hAnsi="Times New Roman" w:eastAsia="宋体" w:cs="Times New Roman"/>
                <w:szCs w:val="24"/>
                <w:lang w:val="en-US" w:eastAsia="zh-CN" w:bidi="ar"/>
              </w:rPr>
              <w:t>于</w:t>
            </w:r>
            <w:r>
              <w:rPr>
                <w:rFonts w:hint="eastAsia" w:ascii="Times New Roman" w:hAnsi="Times New Roman" w:eastAsia="宋体" w:cs="Times New Roman"/>
                <w:szCs w:val="24"/>
                <w:lang w:val="en-US" w:eastAsia="zh-CN" w:bidi="ar"/>
              </w:rPr>
              <w:t>2022年3月24日</w:t>
            </w:r>
            <w:r>
              <w:rPr>
                <w:rFonts w:hint="default" w:ascii="Times New Roman" w:hAnsi="Times New Roman" w:eastAsia="宋体" w:cs="Times New Roman"/>
                <w:szCs w:val="24"/>
                <w:lang w:val="en-US" w:eastAsia="zh-CN" w:bidi="ar"/>
              </w:rPr>
              <w:t>经</w:t>
            </w:r>
            <w:r>
              <w:rPr>
                <w:rFonts w:hint="eastAsia" w:ascii="Times New Roman" w:hAnsi="Times New Roman" w:eastAsia="宋体" w:cs="Times New Roman"/>
                <w:szCs w:val="24"/>
                <w:lang w:val="en-US" w:eastAsia="zh-CN" w:bidi="ar"/>
              </w:rPr>
              <w:t>安庆市大观区经济和信息化局</w:t>
            </w:r>
            <w:r>
              <w:rPr>
                <w:rFonts w:hint="default" w:ascii="Times New Roman" w:hAnsi="Times New Roman" w:eastAsia="宋体" w:cs="Times New Roman"/>
                <w:szCs w:val="24"/>
                <w:lang w:val="en-US" w:eastAsia="zh-CN" w:bidi="ar"/>
              </w:rPr>
              <w:t>备案，</w:t>
            </w:r>
            <w:r>
              <w:rPr>
                <w:rFonts w:hint="eastAsia" w:ascii="Times New Roman" w:hAnsi="Times New Roman" w:eastAsia="宋体" w:cs="Times New Roman"/>
                <w:szCs w:val="24"/>
                <w:lang w:val="en-US" w:eastAsia="zh-CN" w:bidi="ar"/>
              </w:rPr>
              <w:t>项目编码为2203-340803-07-02-136880，建成后年产196万片端面密封件。项目于2022年5月完成环评，在2</w:t>
            </w:r>
            <w:r>
              <w:rPr>
                <w:rFonts w:hint="eastAsia"/>
                <w:lang w:val="en-US" w:eastAsia="zh-CN"/>
              </w:rPr>
              <w:t>022年6月6日获得</w:t>
            </w:r>
            <w:r>
              <w:rPr>
                <w:rFonts w:hint="default"/>
                <w:lang w:eastAsia="zh-CN"/>
              </w:rPr>
              <w:t>安庆</w:t>
            </w:r>
            <w:r>
              <w:rPr>
                <w:rFonts w:hint="default"/>
                <w:lang w:val="en-US" w:eastAsia="zh-CN"/>
              </w:rPr>
              <w:t>市大观区生态环境分</w:t>
            </w:r>
            <w:r>
              <w:rPr>
                <w:rFonts w:hint="default"/>
                <w:lang w:eastAsia="zh-CN"/>
              </w:rPr>
              <w:t>局</w:t>
            </w:r>
            <w:r>
              <w:rPr>
                <w:rFonts w:hint="default"/>
                <w:lang w:val="en-US" w:eastAsia="zh-CN"/>
              </w:rPr>
              <w:t>《关于安庆帝伯格茨活塞环有限公司端面密封件生产线提升与智能化改造项目环境影响报告表审查意见的函</w:t>
            </w:r>
            <w:r>
              <w:rPr>
                <w:rFonts w:hint="default"/>
              </w:rPr>
              <w:t>》</w:t>
            </w:r>
            <w:r>
              <w:rPr>
                <w:rFonts w:hint="default"/>
                <w:lang w:eastAsia="zh-CN"/>
              </w:rPr>
              <w:t>（观环建函〔202</w:t>
            </w:r>
            <w:r>
              <w:rPr>
                <w:rFonts w:hint="eastAsia"/>
                <w:lang w:val="en-US" w:eastAsia="zh-CN"/>
              </w:rPr>
              <w:t>2</w:t>
            </w:r>
            <w:r>
              <w:rPr>
                <w:rFonts w:hint="default"/>
                <w:lang w:eastAsia="zh-CN"/>
              </w:rPr>
              <w:t>〕</w:t>
            </w:r>
            <w:r>
              <w:rPr>
                <w:rFonts w:hint="eastAsia"/>
                <w:lang w:val="en-US" w:eastAsia="zh-CN"/>
              </w:rPr>
              <w:t>3</w:t>
            </w:r>
            <w:r>
              <w:rPr>
                <w:rFonts w:hint="default"/>
                <w:lang w:eastAsia="zh-CN"/>
              </w:rPr>
              <w:t>号）</w:t>
            </w:r>
            <w:r>
              <w:rPr>
                <w:rFonts w:hint="eastAsia"/>
                <w:lang w:val="en-US" w:eastAsia="zh-CN"/>
              </w:rPr>
              <w:t>。</w:t>
            </w:r>
          </w:p>
          <w:p w14:paraId="2BC43877">
            <w:pPr>
              <w:keepNext w:val="0"/>
              <w:keepLines w:val="0"/>
              <w:suppressLineNumbers w:val="0"/>
              <w:bidi w:val="0"/>
              <w:spacing w:before="0" w:beforeAutospacing="0" w:after="0" w:afterAutospacing="0"/>
              <w:ind w:left="0" w:right="0"/>
              <w:rPr>
                <w:rFonts w:hint="eastAsia" w:ascii="Times New Roman" w:hAnsi="Times New Roman" w:eastAsia="宋体" w:cs="Times New Roman"/>
                <w:szCs w:val="24"/>
                <w:highlight w:val="yellow"/>
                <w:lang w:val="en-US" w:eastAsia="zh-CN" w:bidi="ar"/>
              </w:rPr>
            </w:pPr>
            <w:r>
              <w:rPr>
                <w:rFonts w:hint="eastAsia"/>
                <w:lang w:val="en-US" w:eastAsia="zh-CN"/>
              </w:rPr>
              <w:t>项目于2024</w:t>
            </w:r>
            <w:r>
              <w:rPr>
                <w:rFonts w:hint="eastAsia" w:ascii="Times New Roman" w:hAnsi="Times New Roman" w:eastAsia="宋体" w:cs="Times New Roman"/>
                <w:szCs w:val="24"/>
                <w:lang w:val="en-US" w:eastAsia="zh-CN" w:bidi="ar"/>
              </w:rPr>
              <w:t>年7月建设，2</w:t>
            </w:r>
            <w:r>
              <w:rPr>
                <w:rFonts w:hint="eastAsia" w:ascii="Times New Roman" w:hAnsi="Times New Roman" w:eastAsia="宋体" w:cs="Times New Roman"/>
                <w:szCs w:val="24"/>
                <w:highlight w:val="none"/>
                <w:lang w:val="en-US" w:eastAsia="zh-CN" w:bidi="ar"/>
              </w:rPr>
              <w:t>025年11月竣工并开始调试。企业在2025年12月开始验收工作，并开展本项目的竣工环保验收监测工作。2025年12月22日-12月25日、2026年2月3日-2月4日安徽中检安环检测技术有限公司开展了废水、废气、噪声的现场检测。（CMA:</w:t>
            </w:r>
            <w:r>
              <w:rPr>
                <w:rFonts w:hint="default" w:ascii="Times New Roman" w:hAnsi="Times New Roman" w:eastAsia="宋体" w:cs="Times New Roman"/>
                <w:szCs w:val="24"/>
                <w:highlight w:val="none"/>
                <w:lang w:val="en-US" w:eastAsia="zh-CN" w:bidi="ar"/>
              </w:rPr>
              <w:t xml:space="preserve"> </w:t>
            </w:r>
            <w:r>
              <w:rPr>
                <w:rFonts w:hint="eastAsia" w:ascii="Times New Roman" w:hAnsi="Times New Roman" w:eastAsia="宋体" w:cs="Times New Roman"/>
                <w:szCs w:val="24"/>
                <w:highlight w:val="none"/>
                <w:lang w:val="en-US" w:eastAsia="zh-CN" w:bidi="ar"/>
              </w:rPr>
              <w:t>251212053027）</w:t>
            </w:r>
          </w:p>
          <w:p w14:paraId="2B6C019A">
            <w:pPr>
              <w:keepNext/>
              <w:keepLines/>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本次验收范围为</w:t>
            </w:r>
            <w:r>
              <w:rPr>
                <w:rFonts w:hint="eastAsia"/>
                <w:color w:val="000000"/>
                <w:sz w:val="24"/>
              </w:rPr>
              <w:t>端面密封件生产线提升与智能化改造项目</w:t>
            </w:r>
            <w:r>
              <w:rPr>
                <w:rFonts w:hint="eastAsia" w:ascii="Times New Roman" w:hAnsi="Times New Roman" w:eastAsia="宋体" w:cs="Times New Roman"/>
                <w:sz w:val="24"/>
                <w:szCs w:val="24"/>
                <w:lang w:val="en-US" w:eastAsia="zh-CN" w:bidi="ar"/>
              </w:rPr>
              <w:t>所有工程内容，本次验收内容主要为：核查项目实际建设内容，对项目环境保护设施建设情况进行检查，对环境保护设施调试效果进行现场监测等。</w:t>
            </w:r>
          </w:p>
          <w:p w14:paraId="6EA428A6">
            <w:pPr>
              <w:pStyle w:val="4"/>
              <w:suppressLineNumbers w:val="0"/>
              <w:bidi w:val="0"/>
              <w:spacing w:before="0" w:beforeAutospacing="0" w:after="0" w:afterAutospacing="0"/>
              <w:ind w:left="0" w:right="0"/>
              <w:rPr>
                <w:rFonts w:hint="default"/>
              </w:rPr>
            </w:pPr>
            <w:r>
              <w:rPr>
                <w:rFonts w:hint="eastAsia"/>
              </w:rPr>
              <w:t>2.1.2建设内容</w:t>
            </w:r>
          </w:p>
          <w:p w14:paraId="2D1219E7">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kern w:val="0"/>
                <w:sz w:val="24"/>
                <w:szCs w:val="32"/>
                <w14:textFill>
                  <w14:solidFill>
                    <w14:schemeClr w14:val="tx1"/>
                  </w14:solidFill>
                </w14:textFill>
              </w:rPr>
            </w:pPr>
            <w:r>
              <w:rPr>
                <w:rFonts w:hint="eastAsia" w:ascii="Times New Roman" w:hAnsi="Times New Roman" w:eastAsia="宋体" w:cs="Times New Roman"/>
                <w:color w:val="000000" w:themeColor="text1"/>
                <w:sz w:val="24"/>
                <w:szCs w:val="32"/>
                <w14:textFill>
                  <w14:solidFill>
                    <w14:schemeClr w14:val="tx1"/>
                  </w14:solidFill>
                </w14:textFill>
              </w:rPr>
              <w:t>本次验收的生产能为</w:t>
            </w:r>
            <w:r>
              <w:rPr>
                <w:rFonts w:hint="eastAsia" w:ascii="宋体" w:hAnsi="宋体" w:eastAsia="宋体" w:cs="Times New Roman"/>
                <w:b w:val="0"/>
                <w:bCs w:val="0"/>
                <w:color w:val="000000"/>
                <w:kern w:val="0"/>
                <w:sz w:val="24"/>
                <w:szCs w:val="24"/>
              </w:rPr>
              <w:t>年产</w:t>
            </w:r>
            <w:r>
              <w:rPr>
                <w:rFonts w:hint="default" w:ascii="Times New Roman" w:hAnsi="Times New Roman" w:cs="Times New Roman"/>
                <w:szCs w:val="21"/>
                <w:lang w:eastAsia="zh-CN"/>
              </w:rPr>
              <w:t>端面密封件</w:t>
            </w:r>
            <w:r>
              <w:rPr>
                <w:rFonts w:hint="eastAsia" w:ascii="Times New Roman" w:hAnsi="Times New Roman" w:cs="Times New Roman"/>
                <w:szCs w:val="21"/>
                <w:lang w:val="en-US" w:eastAsia="zh-CN"/>
              </w:rPr>
              <w:t>196</w:t>
            </w:r>
            <w:r>
              <w:rPr>
                <w:rFonts w:hint="eastAsia" w:ascii="宋体" w:hAnsi="宋体" w:eastAsia="宋体" w:cs="Times New Roman"/>
                <w:b w:val="0"/>
                <w:bCs w:val="0"/>
                <w:color w:val="000000"/>
                <w:kern w:val="0"/>
                <w:sz w:val="24"/>
                <w:szCs w:val="24"/>
                <w:lang w:val="en-US" w:eastAsia="zh-CN"/>
              </w:rPr>
              <w:t>万片</w:t>
            </w:r>
            <w:r>
              <w:rPr>
                <w:rFonts w:hint="eastAsia" w:ascii="Times New Roman" w:hAnsi="Times New Roman" w:eastAsia="宋体" w:cs="Times New Roman"/>
                <w:kern w:val="2"/>
                <w:sz w:val="24"/>
                <w:szCs w:val="24"/>
                <w:lang w:val="en-US" w:eastAsia="zh-CN" w:bidi="ar"/>
              </w:rPr>
              <w:t>。</w:t>
            </w:r>
          </w:p>
          <w:p w14:paraId="12FD259F">
            <w:pPr>
              <w:keepNext w:val="0"/>
              <w:keepLines w:val="0"/>
              <w:suppressLineNumbers w:val="0"/>
              <w:spacing w:before="0" w:beforeAutospacing="0" w:after="0" w:afterAutospacing="0" w:line="360" w:lineRule="auto"/>
              <w:ind w:left="0" w:right="0" w:firstLine="480" w:firstLineChars="200"/>
              <w:rPr>
                <w:rFonts w:hint="default" w:ascii="宋体" w:hAnsi="宋体" w:eastAsia="宋体" w:cs="Times New Roman"/>
                <w:color w:val="000000"/>
                <w:kern w:val="0"/>
                <w:sz w:val="24"/>
                <w:szCs w:val="24"/>
              </w:rPr>
            </w:pPr>
            <w:r>
              <w:rPr>
                <w:rFonts w:hint="eastAsia" w:ascii="Times New Roman" w:hAnsi="Times New Roman" w:eastAsia="宋体" w:cs="Times New Roman"/>
                <w:color w:val="000000" w:themeColor="text1"/>
                <w:kern w:val="0"/>
                <w:sz w:val="24"/>
                <w:szCs w:val="32"/>
                <w14:textFill>
                  <w14:solidFill>
                    <w14:schemeClr w14:val="tx1"/>
                  </w14:solidFill>
                </w14:textFill>
              </w:rPr>
              <w:t>经现场勘查，实际建设情况与环评报告表中建设情况对比见下表：</w:t>
            </w:r>
          </w:p>
          <w:p w14:paraId="3B5ED2AA">
            <w:pPr>
              <w:keepNext w:val="0"/>
              <w:keepLines w:val="0"/>
              <w:suppressLineNumbers w:val="0"/>
              <w:spacing w:before="0" w:beforeAutospacing="0" w:after="0" w:afterAutospacing="0" w:line="360" w:lineRule="auto"/>
              <w:ind w:left="0" w:right="0"/>
              <w:rPr>
                <w:rFonts w:hint="default" w:ascii="宋体" w:hAnsi="宋体" w:eastAsia="宋体" w:cs="Times New Roman"/>
                <w:color w:val="000000"/>
                <w:kern w:val="0"/>
                <w:sz w:val="24"/>
                <w:szCs w:val="24"/>
              </w:rPr>
            </w:pPr>
          </w:p>
        </w:tc>
      </w:tr>
    </w:tbl>
    <w:p w14:paraId="21E68C35">
      <w:pPr>
        <w:widowControl/>
        <w:adjustRightInd w:val="0"/>
        <w:snapToGrid w:val="0"/>
        <w:spacing w:line="360" w:lineRule="auto"/>
        <w:jc w:val="left"/>
        <w:rPr>
          <w:rFonts w:ascii="Tahoma" w:hAnsi="Tahoma" w:eastAsia="仿宋_GB2312" w:cs="Times New Roman"/>
          <w:color w:val="000000"/>
          <w:kern w:val="0"/>
          <w:sz w:val="24"/>
          <w:szCs w:val="24"/>
        </w:rPr>
        <w:sectPr>
          <w:footerReference r:id="rId6" w:type="default"/>
          <w:pgSz w:w="11906" w:h="16838"/>
          <w:pgMar w:top="1440" w:right="1797" w:bottom="1440" w:left="1797" w:header="708" w:footer="708" w:gutter="0"/>
          <w:pgBorders>
            <w:top w:val="none" w:sz="0" w:space="0"/>
            <w:left w:val="none" w:sz="0" w:space="0"/>
            <w:bottom w:val="none" w:sz="0" w:space="0"/>
            <w:right w:val="none" w:sz="0" w:space="0"/>
          </w:pgBorders>
          <w:pgNumType w:start="1"/>
          <w:cols w:space="720" w:num="1"/>
          <w:docGrid w:linePitch="360" w:charSpace="0"/>
        </w:sect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14:paraId="6F438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3" w:hRule="atLeast"/>
        </w:trPr>
        <w:tc>
          <w:tcPr>
            <w:tcW w:w="14174" w:type="dxa"/>
            <w:vAlign w:val="top"/>
          </w:tcPr>
          <w:p w14:paraId="49F47929">
            <w:pPr>
              <w:keepNext w:val="0"/>
              <w:keepLines w:val="0"/>
              <w:pageBreakBefore w:val="0"/>
              <w:widowControl/>
              <w:suppressLineNumbers w:val="0"/>
              <w:kinsoku/>
              <w:wordWrap/>
              <w:overflowPunct/>
              <w:topLinePunct w:val="0"/>
              <w:autoSpaceDE/>
              <w:autoSpaceDN/>
              <w:bidi w:val="0"/>
              <w:adjustRightInd w:val="0"/>
              <w:snapToGrid w:val="0"/>
              <w:spacing w:before="181" w:beforeLines="50" w:beforeAutospacing="0" w:after="181" w:afterLines="50" w:afterAutospacing="0" w:line="360" w:lineRule="auto"/>
              <w:ind w:left="0" w:right="0"/>
              <w:jc w:val="center"/>
              <w:textAlignment w:val="auto"/>
              <w:rPr>
                <w:rFonts w:hint="eastAsia" w:ascii="Times New Roman" w:hAnsi="Times New Roman" w:eastAsia="宋体" w:cs="Times New Roman"/>
                <w:b/>
                <w:color w:val="000000" w:themeColor="text1"/>
                <w:kern w:val="0"/>
                <w:sz w:val="24"/>
                <w:szCs w:val="32"/>
                <w14:textFill>
                  <w14:solidFill>
                    <w14:schemeClr w14:val="tx1"/>
                  </w14:solidFill>
                </w14:textFill>
              </w:rPr>
            </w:pPr>
            <w:r>
              <w:rPr>
                <w:rFonts w:hint="eastAsia" w:ascii="Times New Roman" w:hAnsi="Times New Roman" w:eastAsia="宋体" w:cs="Times New Roman"/>
                <w:b/>
                <w:color w:val="000000" w:themeColor="text1"/>
                <w:kern w:val="0"/>
                <w:sz w:val="24"/>
                <w:szCs w:val="32"/>
                <w14:textFill>
                  <w14:solidFill>
                    <w14:schemeClr w14:val="tx1"/>
                  </w14:solidFill>
                </w14:textFill>
              </w:rPr>
              <w:t>表2</w:t>
            </w:r>
            <w:r>
              <w:rPr>
                <w:rFonts w:hint="eastAsia" w:ascii="Times New Roman" w:hAnsi="Times New Roman" w:eastAsia="宋体" w:cs="Times New Roman"/>
                <w:b/>
                <w:color w:val="000000" w:themeColor="text1"/>
                <w:kern w:val="0"/>
                <w:sz w:val="24"/>
                <w:szCs w:val="32"/>
                <w:lang w:val="en-US" w:eastAsia="zh-CN"/>
                <w14:textFill>
                  <w14:solidFill>
                    <w14:schemeClr w14:val="tx1"/>
                  </w14:solidFill>
                </w14:textFill>
              </w:rPr>
              <w:t>.1</w:t>
            </w:r>
            <w:r>
              <w:rPr>
                <w:rFonts w:hint="eastAsia" w:ascii="Times New Roman" w:hAnsi="Times New Roman" w:eastAsia="宋体" w:cs="Times New Roman"/>
                <w:b/>
                <w:color w:val="000000" w:themeColor="text1"/>
                <w:kern w:val="0"/>
                <w:sz w:val="24"/>
                <w:szCs w:val="32"/>
                <w14:textFill>
                  <w14:solidFill>
                    <w14:schemeClr w14:val="tx1"/>
                  </w14:solidFill>
                </w14:textFill>
              </w:rPr>
              <w:t>-1实际建设情况与环评报告表中建设情况对比表</w:t>
            </w:r>
          </w:p>
          <w:tbl>
            <w:tblPr>
              <w:tblStyle w:val="19"/>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3"/>
              <w:gridCol w:w="876"/>
              <w:gridCol w:w="4919"/>
              <w:gridCol w:w="5324"/>
              <w:gridCol w:w="2038"/>
            </w:tblGrid>
            <w:tr w14:paraId="1560D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783" w:type="dxa"/>
                  <w:noWrap w:val="0"/>
                  <w:vAlign w:val="center"/>
                </w:tcPr>
                <w:p w14:paraId="4FD9E4E0">
                  <w:pPr>
                    <w:pStyle w:val="24"/>
                    <w:bidi w:val="0"/>
                    <w:rPr>
                      <w:rFonts w:hint="default" w:ascii="Times New Roman" w:hAnsi="Times New Roman" w:cs="Times New Roman"/>
                    </w:rPr>
                  </w:pPr>
                  <w:r>
                    <w:rPr>
                      <w:rFonts w:hint="default" w:ascii="Times New Roman" w:hAnsi="Times New Roman" w:cs="Times New Roman"/>
                    </w:rPr>
                    <w:t>工程</w:t>
                  </w:r>
                </w:p>
                <w:p w14:paraId="39E7DDE1">
                  <w:pPr>
                    <w:pStyle w:val="24"/>
                    <w:bidi w:val="0"/>
                    <w:rPr>
                      <w:rFonts w:hint="default" w:ascii="Times New Roman" w:hAnsi="Times New Roman" w:cs="Times New Roman"/>
                    </w:rPr>
                  </w:pPr>
                  <w:r>
                    <w:rPr>
                      <w:rFonts w:hint="default" w:ascii="Times New Roman" w:hAnsi="Times New Roman" w:cs="Times New Roman"/>
                    </w:rPr>
                    <w:t>类别</w:t>
                  </w:r>
                </w:p>
              </w:tc>
              <w:tc>
                <w:tcPr>
                  <w:tcW w:w="876" w:type="dxa"/>
                  <w:noWrap w:val="0"/>
                  <w:vAlign w:val="center"/>
                </w:tcPr>
                <w:p w14:paraId="2CD13398">
                  <w:pPr>
                    <w:pStyle w:val="24"/>
                    <w:bidi w:val="0"/>
                    <w:rPr>
                      <w:rFonts w:hint="default" w:ascii="Times New Roman" w:hAnsi="Times New Roman" w:cs="Times New Roman"/>
                    </w:rPr>
                  </w:pPr>
                  <w:r>
                    <w:rPr>
                      <w:rFonts w:hint="default" w:ascii="Times New Roman" w:hAnsi="Times New Roman" w:cs="Times New Roman"/>
                    </w:rPr>
                    <w:t>项目</w:t>
                  </w:r>
                </w:p>
                <w:p w14:paraId="3960662A">
                  <w:pPr>
                    <w:pStyle w:val="24"/>
                    <w:bidi w:val="0"/>
                    <w:rPr>
                      <w:rFonts w:hint="default" w:ascii="Times New Roman" w:hAnsi="Times New Roman" w:cs="Times New Roman"/>
                    </w:rPr>
                  </w:pPr>
                  <w:r>
                    <w:rPr>
                      <w:rFonts w:hint="default" w:ascii="Times New Roman" w:hAnsi="Times New Roman" w:cs="Times New Roman"/>
                    </w:rPr>
                    <w:t>名称</w:t>
                  </w:r>
                </w:p>
              </w:tc>
              <w:tc>
                <w:tcPr>
                  <w:tcW w:w="4919" w:type="dxa"/>
                  <w:noWrap w:val="0"/>
                  <w:vAlign w:val="center"/>
                </w:tcPr>
                <w:p w14:paraId="1C8B232A">
                  <w:pPr>
                    <w:pStyle w:val="24"/>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rPr>
                  </w:pPr>
                  <w:r>
                    <w:rPr>
                      <w:rFonts w:hint="eastAsia" w:ascii="Times New Roman" w:hAnsi="Times New Roman" w:cs="Times New Roman"/>
                      <w:lang w:val="en-US" w:eastAsia="zh-CN"/>
                    </w:rPr>
                    <w:t>环评阶段</w:t>
                  </w:r>
                  <w:r>
                    <w:rPr>
                      <w:rFonts w:hint="default" w:ascii="Times New Roman" w:hAnsi="Times New Roman" w:cs="Times New Roman"/>
                    </w:rPr>
                    <w:t>主要建设内容及规模</w:t>
                  </w:r>
                </w:p>
              </w:tc>
              <w:tc>
                <w:tcPr>
                  <w:tcW w:w="5324" w:type="dxa"/>
                  <w:noWrap w:val="0"/>
                  <w:vAlign w:val="center"/>
                </w:tcPr>
                <w:p w14:paraId="31DB3214">
                  <w:pPr>
                    <w:pStyle w:val="24"/>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rPr>
                  </w:pPr>
                  <w:r>
                    <w:rPr>
                      <w:rFonts w:hint="eastAsia" w:ascii="Times New Roman" w:hAnsi="Times New Roman" w:cs="Times New Roman"/>
                      <w:lang w:val="en-US" w:eastAsia="zh-CN"/>
                    </w:rPr>
                    <w:t>验收阶段</w:t>
                  </w:r>
                  <w:r>
                    <w:rPr>
                      <w:rFonts w:hint="default" w:ascii="Times New Roman" w:hAnsi="Times New Roman" w:cs="Times New Roman"/>
                    </w:rPr>
                    <w:t>主要建设内容及规模</w:t>
                  </w:r>
                </w:p>
              </w:tc>
              <w:tc>
                <w:tcPr>
                  <w:tcW w:w="2038" w:type="dxa"/>
                  <w:noWrap w:val="0"/>
                  <w:vAlign w:val="center"/>
                </w:tcPr>
                <w:p w14:paraId="164F3118">
                  <w:pPr>
                    <w:pStyle w:val="24"/>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备注</w:t>
                  </w:r>
                </w:p>
              </w:tc>
            </w:tr>
            <w:tr w14:paraId="4A726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7" w:hRule="atLeast"/>
                <w:jc w:val="center"/>
              </w:trPr>
              <w:tc>
                <w:tcPr>
                  <w:tcW w:w="783" w:type="dxa"/>
                  <w:noWrap w:val="0"/>
                  <w:vAlign w:val="center"/>
                </w:tcPr>
                <w:p w14:paraId="3F1FEBBC">
                  <w:pPr>
                    <w:pStyle w:val="24"/>
                    <w:bidi w:val="0"/>
                    <w:rPr>
                      <w:rFonts w:hint="default" w:ascii="Times New Roman" w:hAnsi="Times New Roman" w:cs="Times New Roman"/>
                    </w:rPr>
                  </w:pPr>
                  <w:r>
                    <w:rPr>
                      <w:rFonts w:hint="default" w:ascii="Times New Roman" w:hAnsi="Times New Roman" w:cs="Times New Roman"/>
                    </w:rPr>
                    <w:t>主体</w:t>
                  </w:r>
                </w:p>
                <w:p w14:paraId="00BA2670">
                  <w:pPr>
                    <w:pStyle w:val="24"/>
                    <w:bidi w:val="0"/>
                    <w:rPr>
                      <w:rFonts w:hint="default" w:ascii="Times New Roman" w:hAnsi="Times New Roman" w:cs="Times New Roman"/>
                    </w:rPr>
                  </w:pPr>
                  <w:r>
                    <w:rPr>
                      <w:rFonts w:hint="default" w:ascii="Times New Roman" w:hAnsi="Times New Roman" w:cs="Times New Roman"/>
                    </w:rPr>
                    <w:t>工程</w:t>
                  </w:r>
                </w:p>
              </w:tc>
              <w:tc>
                <w:tcPr>
                  <w:tcW w:w="876" w:type="dxa"/>
                  <w:noWrap w:val="0"/>
                  <w:vAlign w:val="center"/>
                </w:tcPr>
                <w:p w14:paraId="7B78E5E1">
                  <w:pPr>
                    <w:pStyle w:val="24"/>
                    <w:bidi w:val="0"/>
                    <w:rPr>
                      <w:rFonts w:hint="default" w:ascii="Times New Roman" w:hAnsi="Times New Roman" w:cs="Times New Roman"/>
                    </w:rPr>
                  </w:pPr>
                  <w:r>
                    <w:rPr>
                      <w:rFonts w:hint="default" w:ascii="Times New Roman" w:hAnsi="Times New Roman" w:cs="Times New Roman"/>
                    </w:rPr>
                    <w:t>端面密封件生产线</w:t>
                  </w:r>
                </w:p>
              </w:tc>
              <w:tc>
                <w:tcPr>
                  <w:tcW w:w="4919" w:type="dxa"/>
                  <w:noWrap w:val="0"/>
                  <w:vAlign w:val="center"/>
                </w:tcPr>
                <w:p w14:paraId="133D4F87">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lang w:val="en-US" w:eastAsia="zh-CN"/>
                    </w:rPr>
                    <w:t>在原有生产线进行效率提升与智能化改造，</w:t>
                  </w:r>
                  <w:r>
                    <w:rPr>
                      <w:rFonts w:hint="default" w:ascii="Times New Roman" w:hAnsi="Times New Roman" w:cs="Times New Roman"/>
                    </w:rPr>
                    <w:t>利用</w:t>
                  </w:r>
                  <w:r>
                    <w:rPr>
                      <w:rFonts w:hint="default" w:ascii="Times New Roman" w:hAnsi="Times New Roman" w:cs="Times New Roman"/>
                      <w:lang w:val="en-US" w:eastAsia="zh-CN"/>
                    </w:rPr>
                    <w:t>原</w:t>
                  </w:r>
                  <w:r>
                    <w:rPr>
                      <w:rFonts w:hint="default" w:ascii="Times New Roman" w:hAnsi="Times New Roman" w:cs="Times New Roman"/>
                      <w:lang w:eastAsia="zh-CN"/>
                    </w:rPr>
                    <w:t>有</w:t>
                  </w:r>
                  <w:r>
                    <w:rPr>
                      <w:rFonts w:hint="default" w:ascii="Times New Roman" w:hAnsi="Times New Roman" w:cs="Times New Roman"/>
                    </w:rPr>
                    <w:t>端面密封件生产线</w:t>
                  </w:r>
                  <w:r>
                    <w:rPr>
                      <w:rFonts w:hint="default" w:ascii="Times New Roman" w:hAnsi="Times New Roman" w:cs="Times New Roman"/>
                      <w:lang w:eastAsia="zh-CN"/>
                    </w:rPr>
                    <w:t>厂房以及该厂房北侧</w:t>
                  </w:r>
                  <w:r>
                    <w:rPr>
                      <w:rFonts w:hint="default" w:ascii="Times New Roman" w:hAnsi="Times New Roman" w:cs="Times New Roman"/>
                    </w:rPr>
                    <w:t>空置厂房，引进自动梯面磨床设备，背面行磨和外圆抛光设备，同时开发自动车床、自动外观检查机、自动包装机及智能仓储系统等智能化设备</w:t>
                  </w:r>
                  <w:r>
                    <w:rPr>
                      <w:rFonts w:hint="default" w:ascii="Times New Roman" w:hAnsi="Times New Roman" w:cs="Times New Roman"/>
                      <w:lang w:eastAsia="zh-CN"/>
                    </w:rPr>
                    <w:t>，</w:t>
                  </w:r>
                  <w:r>
                    <w:rPr>
                      <w:rFonts w:hint="default" w:ascii="Times New Roman" w:hAnsi="Times New Roman" w:eastAsia="宋体" w:cs="Times New Roman"/>
                      <w:lang w:eastAsia="zh-CN"/>
                    </w:rPr>
                    <w:t>实现端面密封件生产线效率提升与智能化改造，形成</w:t>
                  </w:r>
                  <w:r>
                    <w:rPr>
                      <w:rFonts w:hint="default" w:ascii="Times New Roman" w:hAnsi="Times New Roman" w:cs="Times New Roman"/>
                      <w:lang w:eastAsia="zh-CN"/>
                    </w:rPr>
                    <w:t>新增</w:t>
                  </w:r>
                  <w:r>
                    <w:rPr>
                      <w:rFonts w:hint="default" w:ascii="Times New Roman" w:hAnsi="Times New Roman" w:eastAsia="宋体" w:cs="Times New Roman"/>
                      <w:lang w:eastAsia="zh-CN"/>
                    </w:rPr>
                    <w:t>年产</w:t>
                  </w:r>
                  <w:r>
                    <w:rPr>
                      <w:rFonts w:hint="default" w:ascii="Times New Roman" w:hAnsi="Times New Roman" w:cs="Times New Roman"/>
                      <w:lang w:val="en-US" w:eastAsia="zh-CN"/>
                    </w:rPr>
                    <w:t>196</w:t>
                  </w:r>
                  <w:r>
                    <w:rPr>
                      <w:rFonts w:hint="default" w:ascii="Times New Roman" w:hAnsi="Times New Roman" w:eastAsia="宋体" w:cs="Times New Roman"/>
                      <w:lang w:eastAsia="zh-CN"/>
                    </w:rPr>
                    <w:t>万片端面密封件生产能力</w:t>
                  </w:r>
                  <w:r>
                    <w:rPr>
                      <w:rFonts w:hint="default" w:ascii="Times New Roman" w:hAnsi="Times New Roman" w:cs="Times New Roman"/>
                      <w:lang w:eastAsia="zh-CN"/>
                    </w:rPr>
                    <w:t>。</w:t>
                  </w:r>
                </w:p>
              </w:tc>
              <w:tc>
                <w:tcPr>
                  <w:tcW w:w="5324" w:type="dxa"/>
                  <w:shd w:val="clear" w:color="auto" w:fill="auto"/>
                  <w:noWrap w:val="0"/>
                  <w:vAlign w:val="center"/>
                </w:tcPr>
                <w:p w14:paraId="34B6C728">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在原有生产线进行效率提升与智能化改造，</w:t>
                  </w:r>
                  <w:r>
                    <w:rPr>
                      <w:rFonts w:hint="default" w:ascii="Times New Roman" w:hAnsi="Times New Roman" w:cs="Times New Roman"/>
                    </w:rPr>
                    <w:t>利用</w:t>
                  </w:r>
                  <w:r>
                    <w:rPr>
                      <w:rFonts w:hint="default" w:ascii="Times New Roman" w:hAnsi="Times New Roman" w:cs="Times New Roman"/>
                      <w:lang w:val="en-US" w:eastAsia="zh-CN"/>
                    </w:rPr>
                    <w:t>原</w:t>
                  </w:r>
                  <w:r>
                    <w:rPr>
                      <w:rFonts w:hint="default" w:ascii="Times New Roman" w:hAnsi="Times New Roman" w:cs="Times New Roman"/>
                      <w:lang w:eastAsia="zh-CN"/>
                    </w:rPr>
                    <w:t>有</w:t>
                  </w:r>
                  <w:r>
                    <w:rPr>
                      <w:rFonts w:hint="default" w:ascii="Times New Roman" w:hAnsi="Times New Roman" w:cs="Times New Roman"/>
                    </w:rPr>
                    <w:t>端面密封件生产线</w:t>
                  </w:r>
                  <w:r>
                    <w:rPr>
                      <w:rFonts w:hint="default" w:ascii="Times New Roman" w:hAnsi="Times New Roman" w:cs="Times New Roman"/>
                      <w:lang w:eastAsia="zh-CN"/>
                    </w:rPr>
                    <w:t>厂房以及该厂房北侧</w:t>
                  </w:r>
                  <w:r>
                    <w:rPr>
                      <w:rFonts w:hint="default" w:ascii="Times New Roman" w:hAnsi="Times New Roman" w:cs="Times New Roman"/>
                    </w:rPr>
                    <w:t>空置厂房，引进自动梯面磨床设备，背面行磨和外圆抛光设备，同时开发自动车床、自动外观检查机、自动包装机及智能仓储系统等智能化设备</w:t>
                  </w:r>
                  <w:r>
                    <w:rPr>
                      <w:rFonts w:hint="default" w:ascii="Times New Roman" w:hAnsi="Times New Roman" w:cs="Times New Roman"/>
                      <w:lang w:eastAsia="zh-CN"/>
                    </w:rPr>
                    <w:t>，</w:t>
                  </w:r>
                  <w:r>
                    <w:rPr>
                      <w:rFonts w:hint="default" w:ascii="Times New Roman" w:hAnsi="Times New Roman" w:eastAsia="宋体" w:cs="Times New Roman"/>
                      <w:lang w:eastAsia="zh-CN"/>
                    </w:rPr>
                    <w:t>实现端面密封件生产线效率提升与智能化改造，形成</w:t>
                  </w:r>
                  <w:r>
                    <w:rPr>
                      <w:rFonts w:hint="default" w:ascii="Times New Roman" w:hAnsi="Times New Roman" w:cs="Times New Roman"/>
                      <w:lang w:eastAsia="zh-CN"/>
                    </w:rPr>
                    <w:t>新增</w:t>
                  </w:r>
                  <w:r>
                    <w:rPr>
                      <w:rFonts w:hint="default" w:ascii="Times New Roman" w:hAnsi="Times New Roman" w:eastAsia="宋体" w:cs="Times New Roman"/>
                      <w:lang w:eastAsia="zh-CN"/>
                    </w:rPr>
                    <w:t>年产</w:t>
                  </w:r>
                  <w:r>
                    <w:rPr>
                      <w:rFonts w:hint="default" w:ascii="Times New Roman" w:hAnsi="Times New Roman" w:cs="Times New Roman"/>
                      <w:lang w:val="en-US" w:eastAsia="zh-CN"/>
                    </w:rPr>
                    <w:t>196</w:t>
                  </w:r>
                  <w:r>
                    <w:rPr>
                      <w:rFonts w:hint="default" w:ascii="Times New Roman" w:hAnsi="Times New Roman" w:eastAsia="宋体" w:cs="Times New Roman"/>
                      <w:lang w:eastAsia="zh-CN"/>
                    </w:rPr>
                    <w:t>万片端面密封件生产能力</w:t>
                  </w:r>
                  <w:r>
                    <w:rPr>
                      <w:rFonts w:hint="default" w:ascii="Times New Roman" w:hAnsi="Times New Roman" w:cs="Times New Roman"/>
                      <w:lang w:eastAsia="zh-CN"/>
                    </w:rPr>
                    <w:t>。</w:t>
                  </w:r>
                </w:p>
              </w:tc>
              <w:tc>
                <w:tcPr>
                  <w:tcW w:w="2038" w:type="dxa"/>
                  <w:noWrap w:val="0"/>
                  <w:vAlign w:val="center"/>
                </w:tcPr>
                <w:p w14:paraId="5496BE72">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与环评一致</w:t>
                  </w:r>
                </w:p>
              </w:tc>
            </w:tr>
            <w:tr w14:paraId="438B7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783" w:type="dxa"/>
                  <w:noWrap w:val="0"/>
                  <w:vAlign w:val="center"/>
                </w:tcPr>
                <w:p w14:paraId="2602C35C">
                  <w:pPr>
                    <w:pStyle w:val="24"/>
                    <w:bidi w:val="0"/>
                    <w:rPr>
                      <w:rFonts w:hint="default" w:ascii="Times New Roman" w:hAnsi="Times New Roman" w:cs="Times New Roman"/>
                    </w:rPr>
                  </w:pPr>
                  <w:r>
                    <w:rPr>
                      <w:rFonts w:hint="default" w:ascii="Times New Roman" w:hAnsi="Times New Roman" w:cs="Times New Roman"/>
                    </w:rPr>
                    <w:t>辅助</w:t>
                  </w:r>
                </w:p>
                <w:p w14:paraId="051B23F6">
                  <w:pPr>
                    <w:pStyle w:val="24"/>
                    <w:bidi w:val="0"/>
                    <w:rPr>
                      <w:rFonts w:hint="default" w:ascii="Times New Roman" w:hAnsi="Times New Roman" w:cs="Times New Roman"/>
                    </w:rPr>
                  </w:pPr>
                  <w:r>
                    <w:rPr>
                      <w:rFonts w:hint="default" w:ascii="Times New Roman" w:hAnsi="Times New Roman" w:cs="Times New Roman"/>
                    </w:rPr>
                    <w:t>工程</w:t>
                  </w:r>
                </w:p>
              </w:tc>
              <w:tc>
                <w:tcPr>
                  <w:tcW w:w="876" w:type="dxa"/>
                  <w:noWrap w:val="0"/>
                  <w:vAlign w:val="center"/>
                </w:tcPr>
                <w:p w14:paraId="3E4D2899">
                  <w:pPr>
                    <w:pStyle w:val="24"/>
                    <w:bidi w:val="0"/>
                    <w:rPr>
                      <w:rFonts w:hint="default" w:ascii="Times New Roman" w:hAnsi="Times New Roman" w:cs="Times New Roman"/>
                    </w:rPr>
                  </w:pPr>
                  <w:r>
                    <w:rPr>
                      <w:rFonts w:hint="default" w:ascii="Times New Roman" w:hAnsi="Times New Roman" w:cs="Times New Roman"/>
                    </w:rPr>
                    <w:t>办公区</w:t>
                  </w:r>
                </w:p>
              </w:tc>
              <w:tc>
                <w:tcPr>
                  <w:tcW w:w="4919" w:type="dxa"/>
                  <w:noWrap w:val="0"/>
                  <w:vAlign w:val="center"/>
                </w:tcPr>
                <w:p w14:paraId="58EDB673">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lang w:eastAsia="zh-CN"/>
                    </w:rPr>
                    <w:t>依托现有办公区，</w:t>
                  </w:r>
                  <w:r>
                    <w:rPr>
                      <w:rFonts w:hint="default" w:ascii="Times New Roman" w:hAnsi="Times New Roman" w:cs="Times New Roman"/>
                    </w:rPr>
                    <w:t>位于二号厂现有磨床车间二层。</w:t>
                  </w:r>
                </w:p>
              </w:tc>
              <w:tc>
                <w:tcPr>
                  <w:tcW w:w="5324" w:type="dxa"/>
                  <w:shd w:val="clear" w:color="auto" w:fill="auto"/>
                  <w:noWrap w:val="0"/>
                  <w:vAlign w:val="center"/>
                </w:tcPr>
                <w:p w14:paraId="0652D559">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eastAsia="zh-CN"/>
                    </w:rPr>
                    <w:t>依托现有办公区，</w:t>
                  </w:r>
                  <w:r>
                    <w:rPr>
                      <w:rFonts w:hint="default" w:ascii="Times New Roman" w:hAnsi="Times New Roman" w:cs="Times New Roman"/>
                    </w:rPr>
                    <w:t>位于二号厂现有磨床车间二层。</w:t>
                  </w:r>
                </w:p>
              </w:tc>
              <w:tc>
                <w:tcPr>
                  <w:tcW w:w="2038" w:type="dxa"/>
                  <w:noWrap w:val="0"/>
                  <w:vAlign w:val="center"/>
                </w:tcPr>
                <w:p w14:paraId="1ADF6455">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与环评一致</w:t>
                  </w:r>
                </w:p>
              </w:tc>
            </w:tr>
            <w:tr w14:paraId="40C01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783" w:type="dxa"/>
                  <w:vMerge w:val="restart"/>
                  <w:noWrap w:val="0"/>
                  <w:vAlign w:val="center"/>
                </w:tcPr>
                <w:p w14:paraId="0214E473">
                  <w:pPr>
                    <w:pStyle w:val="24"/>
                    <w:bidi w:val="0"/>
                    <w:rPr>
                      <w:rFonts w:hint="default" w:ascii="Times New Roman" w:hAnsi="Times New Roman" w:cs="Times New Roman"/>
                    </w:rPr>
                  </w:pPr>
                  <w:r>
                    <w:rPr>
                      <w:rFonts w:hint="default" w:ascii="Times New Roman" w:hAnsi="Times New Roman" w:cs="Times New Roman"/>
                    </w:rPr>
                    <w:t>公用</w:t>
                  </w:r>
                </w:p>
                <w:p w14:paraId="55184326">
                  <w:pPr>
                    <w:pStyle w:val="24"/>
                    <w:bidi w:val="0"/>
                    <w:rPr>
                      <w:rFonts w:hint="default" w:ascii="Times New Roman" w:hAnsi="Times New Roman" w:cs="Times New Roman"/>
                    </w:rPr>
                  </w:pPr>
                  <w:r>
                    <w:rPr>
                      <w:rFonts w:hint="default" w:ascii="Times New Roman" w:hAnsi="Times New Roman" w:cs="Times New Roman"/>
                    </w:rPr>
                    <w:t>工程</w:t>
                  </w:r>
                </w:p>
              </w:tc>
              <w:tc>
                <w:tcPr>
                  <w:tcW w:w="876" w:type="dxa"/>
                  <w:noWrap w:val="0"/>
                  <w:vAlign w:val="center"/>
                </w:tcPr>
                <w:p w14:paraId="04855916">
                  <w:pPr>
                    <w:pStyle w:val="24"/>
                    <w:bidi w:val="0"/>
                    <w:rPr>
                      <w:rFonts w:hint="default" w:ascii="Times New Roman" w:hAnsi="Times New Roman" w:cs="Times New Roman"/>
                    </w:rPr>
                  </w:pPr>
                  <w:r>
                    <w:rPr>
                      <w:rFonts w:hint="default" w:ascii="Times New Roman" w:hAnsi="Times New Roman" w:cs="Times New Roman"/>
                    </w:rPr>
                    <w:t>供水</w:t>
                  </w:r>
                </w:p>
              </w:tc>
              <w:tc>
                <w:tcPr>
                  <w:tcW w:w="4919" w:type="dxa"/>
                  <w:noWrap w:val="0"/>
                  <w:vAlign w:val="center"/>
                </w:tcPr>
                <w:p w14:paraId="79ED6418">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highlight w:val="none"/>
                      <w:lang w:val="en-US" w:eastAsia="zh-CN"/>
                    </w:rPr>
                  </w:pPr>
                  <w:r>
                    <w:rPr>
                      <w:rFonts w:hint="default" w:ascii="Times New Roman" w:hAnsi="Times New Roman" w:cs="Times New Roman"/>
                      <w:highlight w:val="none"/>
                    </w:rPr>
                    <w:t>由市政管网供水系统提供。</w:t>
                  </w:r>
                </w:p>
              </w:tc>
              <w:tc>
                <w:tcPr>
                  <w:tcW w:w="5324" w:type="dxa"/>
                  <w:shd w:val="clear" w:color="auto" w:fill="auto"/>
                  <w:noWrap w:val="0"/>
                  <w:vAlign w:val="center"/>
                </w:tcPr>
                <w:p w14:paraId="0CE919D1">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highlight w:val="none"/>
                      <w:lang w:val="en-US" w:eastAsia="zh-CN" w:bidi="ar"/>
                    </w:rPr>
                  </w:pPr>
                  <w:r>
                    <w:rPr>
                      <w:rFonts w:hint="default" w:ascii="Times New Roman" w:hAnsi="Times New Roman" w:cs="Times New Roman"/>
                      <w:highlight w:val="none"/>
                    </w:rPr>
                    <w:t>由市政管网供水系统提供。</w:t>
                  </w:r>
                </w:p>
              </w:tc>
              <w:tc>
                <w:tcPr>
                  <w:tcW w:w="2038" w:type="dxa"/>
                  <w:noWrap w:val="0"/>
                  <w:vAlign w:val="center"/>
                </w:tcPr>
                <w:p w14:paraId="3AD8043D">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与环评一致</w:t>
                  </w:r>
                </w:p>
              </w:tc>
            </w:tr>
            <w:tr w14:paraId="40FF6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783" w:type="dxa"/>
                  <w:vMerge w:val="continue"/>
                  <w:noWrap w:val="0"/>
                  <w:vAlign w:val="center"/>
                </w:tcPr>
                <w:p w14:paraId="7A846015">
                  <w:pPr>
                    <w:pStyle w:val="24"/>
                    <w:bidi w:val="0"/>
                    <w:rPr>
                      <w:rFonts w:hint="default" w:ascii="Times New Roman" w:hAnsi="Times New Roman" w:cs="Times New Roman"/>
                    </w:rPr>
                  </w:pPr>
                </w:p>
              </w:tc>
              <w:tc>
                <w:tcPr>
                  <w:tcW w:w="876" w:type="dxa"/>
                  <w:noWrap w:val="0"/>
                  <w:vAlign w:val="center"/>
                </w:tcPr>
                <w:p w14:paraId="1BE8A6DB">
                  <w:pPr>
                    <w:pStyle w:val="24"/>
                    <w:bidi w:val="0"/>
                    <w:rPr>
                      <w:rFonts w:hint="default" w:ascii="Times New Roman" w:hAnsi="Times New Roman" w:cs="Times New Roman"/>
                    </w:rPr>
                  </w:pPr>
                  <w:r>
                    <w:rPr>
                      <w:rFonts w:hint="default" w:ascii="Times New Roman" w:hAnsi="Times New Roman" w:cs="Times New Roman"/>
                    </w:rPr>
                    <w:t>供电</w:t>
                  </w:r>
                </w:p>
              </w:tc>
              <w:tc>
                <w:tcPr>
                  <w:tcW w:w="4919" w:type="dxa"/>
                  <w:noWrap w:val="0"/>
                  <w:vAlign w:val="center"/>
                </w:tcPr>
                <w:p w14:paraId="53FA2B71">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highlight w:val="none"/>
                      <w:lang w:val="en-US" w:eastAsia="zh-CN"/>
                    </w:rPr>
                  </w:pPr>
                  <w:r>
                    <w:rPr>
                      <w:rFonts w:hint="default" w:ascii="Times New Roman" w:hAnsi="Times New Roman" w:cs="Times New Roman"/>
                      <w:highlight w:val="none"/>
                    </w:rPr>
                    <w:t>由市政电网供应。依托原有项目配电房（总容量1250KVA）</w:t>
                  </w:r>
                  <w:r>
                    <w:rPr>
                      <w:rFonts w:hint="default" w:ascii="Times New Roman" w:hAnsi="Times New Roman" w:cs="Times New Roman"/>
                      <w:highlight w:val="none"/>
                      <w:lang w:eastAsia="zh-CN"/>
                    </w:rPr>
                    <w:t>，年用电量</w:t>
                  </w:r>
                  <w:r>
                    <w:rPr>
                      <w:rFonts w:hint="eastAsia" w:cs="Times New Roman"/>
                      <w:highlight w:val="none"/>
                      <w:lang w:val="en-US" w:eastAsia="zh-CN"/>
                    </w:rPr>
                    <w:t>150</w:t>
                  </w:r>
                  <w:r>
                    <w:rPr>
                      <w:rFonts w:hint="default" w:ascii="Times New Roman" w:hAnsi="Times New Roman" w:cs="Times New Roman"/>
                      <w:highlight w:val="none"/>
                    </w:rPr>
                    <w:t>万kWh/ a</w:t>
                  </w:r>
                </w:p>
              </w:tc>
              <w:tc>
                <w:tcPr>
                  <w:tcW w:w="5324" w:type="dxa"/>
                  <w:shd w:val="clear" w:color="auto" w:fill="auto"/>
                  <w:noWrap w:val="0"/>
                  <w:vAlign w:val="center"/>
                </w:tcPr>
                <w:p w14:paraId="2A225EE0">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highlight w:val="none"/>
                      <w:lang w:val="en-US" w:eastAsia="zh-CN" w:bidi="ar"/>
                    </w:rPr>
                  </w:pPr>
                  <w:r>
                    <w:rPr>
                      <w:rFonts w:hint="default" w:ascii="Times New Roman" w:hAnsi="Times New Roman" w:cs="Times New Roman"/>
                      <w:highlight w:val="none"/>
                    </w:rPr>
                    <w:t>由市政电网供应。依托原有项目配电房（总容量1250KVA）</w:t>
                  </w:r>
                  <w:r>
                    <w:rPr>
                      <w:rFonts w:hint="default" w:ascii="Times New Roman" w:hAnsi="Times New Roman" w:cs="Times New Roman"/>
                      <w:highlight w:val="none"/>
                      <w:lang w:eastAsia="zh-CN"/>
                    </w:rPr>
                    <w:t>，年用电量</w:t>
                  </w:r>
                  <w:r>
                    <w:rPr>
                      <w:rFonts w:hint="eastAsia" w:cs="Times New Roman"/>
                      <w:highlight w:val="none"/>
                      <w:lang w:val="en-US" w:eastAsia="zh-CN"/>
                    </w:rPr>
                    <w:t>150</w:t>
                  </w:r>
                  <w:r>
                    <w:rPr>
                      <w:rFonts w:hint="default" w:ascii="Times New Roman" w:hAnsi="Times New Roman" w:cs="Times New Roman"/>
                      <w:highlight w:val="none"/>
                    </w:rPr>
                    <w:t>万kWh/ a</w:t>
                  </w:r>
                </w:p>
              </w:tc>
              <w:tc>
                <w:tcPr>
                  <w:tcW w:w="2038" w:type="dxa"/>
                  <w:noWrap w:val="0"/>
                  <w:vAlign w:val="center"/>
                </w:tcPr>
                <w:p w14:paraId="0C7D4404">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与环评一致</w:t>
                  </w:r>
                </w:p>
              </w:tc>
            </w:tr>
            <w:tr w14:paraId="1D31E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3" w:hRule="atLeast"/>
                <w:jc w:val="center"/>
              </w:trPr>
              <w:tc>
                <w:tcPr>
                  <w:tcW w:w="783" w:type="dxa"/>
                  <w:vMerge w:val="continue"/>
                  <w:noWrap w:val="0"/>
                  <w:vAlign w:val="center"/>
                </w:tcPr>
                <w:p w14:paraId="65E844CE">
                  <w:pPr>
                    <w:pStyle w:val="24"/>
                    <w:bidi w:val="0"/>
                    <w:rPr>
                      <w:rFonts w:hint="default" w:ascii="Times New Roman" w:hAnsi="Times New Roman" w:cs="Times New Roman"/>
                    </w:rPr>
                  </w:pPr>
                </w:p>
              </w:tc>
              <w:tc>
                <w:tcPr>
                  <w:tcW w:w="876" w:type="dxa"/>
                  <w:noWrap w:val="0"/>
                  <w:vAlign w:val="center"/>
                </w:tcPr>
                <w:p w14:paraId="36F3831A">
                  <w:pPr>
                    <w:pStyle w:val="24"/>
                    <w:bidi w:val="0"/>
                    <w:rPr>
                      <w:rFonts w:hint="default" w:ascii="Times New Roman" w:hAnsi="Times New Roman" w:cs="Times New Roman"/>
                    </w:rPr>
                  </w:pPr>
                  <w:r>
                    <w:rPr>
                      <w:rFonts w:hint="default" w:ascii="Times New Roman" w:hAnsi="Times New Roman" w:cs="Times New Roman"/>
                    </w:rPr>
                    <w:t>排水</w:t>
                  </w:r>
                </w:p>
              </w:tc>
              <w:tc>
                <w:tcPr>
                  <w:tcW w:w="4919" w:type="dxa"/>
                  <w:noWrap w:val="0"/>
                  <w:vAlign w:val="center"/>
                </w:tcPr>
                <w:p w14:paraId="5FCC5D0C">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雨污分流制，雨水经雨水管网收集后排入市政雨水管网；污水处理达标后进市政污水管网，送至城东污水处理厂处理后达标排放。</w:t>
                  </w:r>
                </w:p>
              </w:tc>
              <w:tc>
                <w:tcPr>
                  <w:tcW w:w="5324" w:type="dxa"/>
                  <w:shd w:val="clear" w:color="auto" w:fill="auto"/>
                  <w:noWrap w:val="0"/>
                  <w:vAlign w:val="center"/>
                </w:tcPr>
                <w:p w14:paraId="4AB27A7F">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rPr>
                    <w:t>雨污分流制，雨水经雨水管网收集后排入市政雨水管网；污水处理达标后进市政污水管网，送至城东污水处理厂处理后达标排放。</w:t>
                  </w:r>
                </w:p>
              </w:tc>
              <w:tc>
                <w:tcPr>
                  <w:tcW w:w="2038" w:type="dxa"/>
                  <w:noWrap w:val="0"/>
                  <w:vAlign w:val="center"/>
                </w:tcPr>
                <w:p w14:paraId="63183071">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与环评一致</w:t>
                  </w:r>
                </w:p>
              </w:tc>
            </w:tr>
            <w:tr w14:paraId="092C6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8" w:hRule="atLeast"/>
                <w:jc w:val="center"/>
              </w:trPr>
              <w:tc>
                <w:tcPr>
                  <w:tcW w:w="783" w:type="dxa"/>
                  <w:vMerge w:val="restart"/>
                  <w:noWrap w:val="0"/>
                  <w:vAlign w:val="center"/>
                </w:tcPr>
                <w:p w14:paraId="2F2155A2">
                  <w:pPr>
                    <w:pStyle w:val="24"/>
                    <w:bidi w:val="0"/>
                    <w:rPr>
                      <w:rFonts w:hint="default" w:ascii="Times New Roman" w:hAnsi="Times New Roman" w:cs="Times New Roman"/>
                    </w:rPr>
                  </w:pPr>
                  <w:r>
                    <w:rPr>
                      <w:rFonts w:hint="default" w:ascii="Times New Roman" w:hAnsi="Times New Roman" w:cs="Times New Roman"/>
                    </w:rPr>
                    <w:t>环保</w:t>
                  </w:r>
                </w:p>
                <w:p w14:paraId="556FF3B2">
                  <w:pPr>
                    <w:pStyle w:val="24"/>
                    <w:bidi w:val="0"/>
                    <w:rPr>
                      <w:rFonts w:hint="default" w:ascii="Times New Roman" w:hAnsi="Times New Roman" w:cs="Times New Roman"/>
                    </w:rPr>
                  </w:pPr>
                  <w:r>
                    <w:rPr>
                      <w:rFonts w:hint="default" w:ascii="Times New Roman" w:hAnsi="Times New Roman" w:cs="Times New Roman"/>
                    </w:rPr>
                    <w:t>工程</w:t>
                  </w:r>
                </w:p>
              </w:tc>
              <w:tc>
                <w:tcPr>
                  <w:tcW w:w="876" w:type="dxa"/>
                  <w:noWrap w:val="0"/>
                  <w:vAlign w:val="center"/>
                </w:tcPr>
                <w:p w14:paraId="3B72F2BB">
                  <w:pPr>
                    <w:pStyle w:val="24"/>
                    <w:bidi w:val="0"/>
                    <w:rPr>
                      <w:rFonts w:hint="default" w:ascii="Times New Roman" w:hAnsi="Times New Roman" w:cs="Times New Roman"/>
                    </w:rPr>
                  </w:pPr>
                  <w:r>
                    <w:rPr>
                      <w:rFonts w:hint="default" w:ascii="Times New Roman" w:hAnsi="Times New Roman" w:cs="Times New Roman"/>
                    </w:rPr>
                    <w:t>废水</w:t>
                  </w:r>
                </w:p>
              </w:tc>
              <w:tc>
                <w:tcPr>
                  <w:tcW w:w="4919" w:type="dxa"/>
                  <w:noWrap w:val="0"/>
                  <w:vAlign w:val="center"/>
                </w:tcPr>
                <w:p w14:paraId="0A47F59E">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生活污水经有化粪池预处理；食堂废水经隔油、沉淀预处理；预处理后的生活污水、食堂废水和车间地面清洁废水进入厂区原有污水处理站</w:t>
                  </w:r>
                  <w:r>
                    <w:rPr>
                      <w:rFonts w:hint="default" w:ascii="Times New Roman" w:hAnsi="Times New Roman" w:cs="Times New Roman"/>
                      <w:lang w:eastAsia="zh-CN"/>
                    </w:rPr>
                    <w:t>，处理后的废水</w:t>
                  </w:r>
                  <w:r>
                    <w:rPr>
                      <w:rFonts w:hint="default" w:ascii="Times New Roman" w:hAnsi="Times New Roman" w:cs="Times New Roman"/>
                    </w:rPr>
                    <w:t>经厂区污水总排口</w:t>
                  </w:r>
                  <w:r>
                    <w:rPr>
                      <w:rFonts w:hint="default" w:ascii="Times New Roman" w:hAnsi="Times New Roman" w:cs="Times New Roman"/>
                      <w:lang w:eastAsia="zh-CN"/>
                    </w:rPr>
                    <w:t>排入</w:t>
                  </w:r>
                  <w:r>
                    <w:rPr>
                      <w:rFonts w:hint="default" w:ascii="Times New Roman" w:hAnsi="Times New Roman" w:cs="Times New Roman"/>
                    </w:rPr>
                    <w:t>市政污水管网送至城东污水处理厂</w:t>
                  </w:r>
                  <w:r>
                    <w:rPr>
                      <w:rFonts w:hint="default" w:ascii="Times New Roman" w:hAnsi="Times New Roman" w:cs="Times New Roman"/>
                      <w:lang w:eastAsia="zh-CN"/>
                    </w:rPr>
                    <w:t>处理</w:t>
                  </w:r>
                  <w:r>
                    <w:rPr>
                      <w:rFonts w:hint="default" w:ascii="Times New Roman" w:hAnsi="Times New Roman" w:cs="Times New Roman"/>
                    </w:rPr>
                    <w:t>。</w:t>
                  </w:r>
                </w:p>
              </w:tc>
              <w:tc>
                <w:tcPr>
                  <w:tcW w:w="5324" w:type="dxa"/>
                  <w:shd w:val="clear" w:color="auto" w:fill="auto"/>
                  <w:noWrap w:val="0"/>
                  <w:vAlign w:val="center"/>
                </w:tcPr>
                <w:p w14:paraId="6731560C">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rPr>
                    <w:t>生活污水经有化粪池预处理；食堂废水经隔油、沉淀预处理；预处理后的生活污水、食堂废水和车间地面清洁废水进入厂区原有污水处理站</w:t>
                  </w:r>
                  <w:r>
                    <w:rPr>
                      <w:rFonts w:hint="default" w:ascii="Times New Roman" w:hAnsi="Times New Roman" w:cs="Times New Roman"/>
                      <w:lang w:eastAsia="zh-CN"/>
                    </w:rPr>
                    <w:t>，处理后的废水</w:t>
                  </w:r>
                  <w:r>
                    <w:rPr>
                      <w:rFonts w:hint="default" w:ascii="Times New Roman" w:hAnsi="Times New Roman" w:cs="Times New Roman"/>
                    </w:rPr>
                    <w:t>经厂区污水总排口</w:t>
                  </w:r>
                  <w:r>
                    <w:rPr>
                      <w:rFonts w:hint="default" w:ascii="Times New Roman" w:hAnsi="Times New Roman" w:cs="Times New Roman"/>
                      <w:lang w:eastAsia="zh-CN"/>
                    </w:rPr>
                    <w:t>排入</w:t>
                  </w:r>
                  <w:r>
                    <w:rPr>
                      <w:rFonts w:hint="default" w:ascii="Times New Roman" w:hAnsi="Times New Roman" w:cs="Times New Roman"/>
                    </w:rPr>
                    <w:t>市政污水管网送至城东污水处理厂</w:t>
                  </w:r>
                  <w:r>
                    <w:rPr>
                      <w:rFonts w:hint="default" w:ascii="Times New Roman" w:hAnsi="Times New Roman" w:cs="Times New Roman"/>
                      <w:lang w:eastAsia="zh-CN"/>
                    </w:rPr>
                    <w:t>处理</w:t>
                  </w:r>
                  <w:r>
                    <w:rPr>
                      <w:rFonts w:hint="default" w:ascii="Times New Roman" w:hAnsi="Times New Roman" w:cs="Times New Roman"/>
                    </w:rPr>
                    <w:t>。</w:t>
                  </w:r>
                </w:p>
              </w:tc>
              <w:tc>
                <w:tcPr>
                  <w:tcW w:w="2038" w:type="dxa"/>
                  <w:noWrap w:val="0"/>
                  <w:vAlign w:val="center"/>
                </w:tcPr>
                <w:p w14:paraId="79A4D2EC">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与环评一致</w:t>
                  </w:r>
                </w:p>
              </w:tc>
            </w:tr>
            <w:tr w14:paraId="52D24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783" w:type="dxa"/>
                  <w:vMerge w:val="continue"/>
                  <w:noWrap w:val="0"/>
                  <w:vAlign w:val="center"/>
                </w:tcPr>
                <w:p w14:paraId="0E76CA3E">
                  <w:pPr>
                    <w:pStyle w:val="24"/>
                    <w:bidi w:val="0"/>
                    <w:rPr>
                      <w:rFonts w:hint="default" w:ascii="Times New Roman" w:hAnsi="Times New Roman" w:cs="Times New Roman"/>
                    </w:rPr>
                  </w:pPr>
                </w:p>
              </w:tc>
              <w:tc>
                <w:tcPr>
                  <w:tcW w:w="876" w:type="dxa"/>
                  <w:vMerge w:val="restart"/>
                  <w:noWrap w:val="0"/>
                  <w:vAlign w:val="center"/>
                </w:tcPr>
                <w:p w14:paraId="18F1E015">
                  <w:pPr>
                    <w:pStyle w:val="24"/>
                    <w:bidi w:val="0"/>
                    <w:rPr>
                      <w:rFonts w:hint="default" w:ascii="Times New Roman" w:hAnsi="Times New Roman" w:cs="Times New Roman"/>
                    </w:rPr>
                  </w:pPr>
                  <w:r>
                    <w:rPr>
                      <w:rFonts w:hint="default" w:ascii="Times New Roman" w:hAnsi="Times New Roman" w:cs="Times New Roman"/>
                    </w:rPr>
                    <w:t>废气</w:t>
                  </w:r>
                </w:p>
              </w:tc>
              <w:tc>
                <w:tcPr>
                  <w:tcW w:w="4919" w:type="dxa"/>
                  <w:noWrap w:val="0"/>
                  <w:vAlign w:val="center"/>
                </w:tcPr>
                <w:p w14:paraId="7C7D9AD0">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打磨工序</w:t>
                  </w:r>
                  <w:r>
                    <w:rPr>
                      <w:rFonts w:hint="default" w:ascii="Times New Roman" w:hAnsi="Times New Roman" w:cs="Times New Roman"/>
                      <w:lang w:eastAsia="zh-CN"/>
                    </w:rPr>
                    <w:t>设备密闭操作，</w:t>
                  </w:r>
                  <w:r>
                    <w:rPr>
                      <w:rFonts w:hint="default" w:ascii="Times New Roman" w:hAnsi="Times New Roman" w:cs="Times New Roman"/>
                    </w:rPr>
                    <w:t>产生的</w:t>
                  </w:r>
                  <w:r>
                    <w:rPr>
                      <w:rFonts w:hint="default" w:ascii="Times New Roman" w:hAnsi="Times New Roman" w:cs="Times New Roman"/>
                      <w:lang w:eastAsia="zh-CN"/>
                    </w:rPr>
                    <w:t>有机废气（以</w:t>
                  </w:r>
                  <w:r>
                    <w:rPr>
                      <w:rFonts w:hint="default" w:ascii="Times New Roman" w:hAnsi="Times New Roman" w:cs="Times New Roman"/>
                    </w:rPr>
                    <w:t>油雾</w:t>
                  </w:r>
                  <w:r>
                    <w:rPr>
                      <w:rFonts w:hint="default" w:ascii="Times New Roman" w:hAnsi="Times New Roman" w:cs="Times New Roman"/>
                      <w:lang w:eastAsia="zh-CN"/>
                    </w:rPr>
                    <w:t>计）</w:t>
                  </w:r>
                  <w:r>
                    <w:rPr>
                      <w:rFonts w:hint="default" w:ascii="Times New Roman" w:hAnsi="Times New Roman" w:cs="Times New Roman"/>
                    </w:rPr>
                    <w:t>通过</w:t>
                  </w:r>
                  <w:r>
                    <w:rPr>
                      <w:rFonts w:hint="default" w:ascii="Times New Roman" w:hAnsi="Times New Roman" w:cs="Times New Roman"/>
                      <w:lang w:eastAsia="zh-CN"/>
                    </w:rPr>
                    <w:t>设备自带的油雾净化器处理后车间内无组织排放</w:t>
                  </w:r>
                </w:p>
              </w:tc>
              <w:tc>
                <w:tcPr>
                  <w:tcW w:w="5324" w:type="dxa"/>
                  <w:shd w:val="clear" w:color="auto" w:fill="auto"/>
                  <w:noWrap w:val="0"/>
                  <w:vAlign w:val="center"/>
                </w:tcPr>
                <w:p w14:paraId="12610847">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rPr>
                    <w:t>打磨工序</w:t>
                  </w:r>
                  <w:r>
                    <w:rPr>
                      <w:rFonts w:hint="default" w:ascii="Times New Roman" w:hAnsi="Times New Roman" w:cs="Times New Roman"/>
                      <w:lang w:eastAsia="zh-CN"/>
                    </w:rPr>
                    <w:t>设备密闭操作，</w:t>
                  </w:r>
                  <w:r>
                    <w:rPr>
                      <w:rFonts w:hint="default" w:ascii="Times New Roman" w:hAnsi="Times New Roman" w:cs="Times New Roman"/>
                    </w:rPr>
                    <w:t>产生的</w:t>
                  </w:r>
                  <w:r>
                    <w:rPr>
                      <w:rFonts w:hint="default" w:ascii="Times New Roman" w:hAnsi="Times New Roman" w:cs="Times New Roman"/>
                      <w:lang w:eastAsia="zh-CN"/>
                    </w:rPr>
                    <w:t>有机废气（以</w:t>
                  </w:r>
                  <w:r>
                    <w:rPr>
                      <w:rFonts w:hint="default" w:ascii="Times New Roman" w:hAnsi="Times New Roman" w:cs="Times New Roman"/>
                    </w:rPr>
                    <w:t>油雾</w:t>
                  </w:r>
                  <w:r>
                    <w:rPr>
                      <w:rFonts w:hint="default" w:ascii="Times New Roman" w:hAnsi="Times New Roman" w:cs="Times New Roman"/>
                      <w:lang w:eastAsia="zh-CN"/>
                    </w:rPr>
                    <w:t>计）</w:t>
                  </w:r>
                  <w:r>
                    <w:rPr>
                      <w:rFonts w:hint="default" w:ascii="Times New Roman" w:hAnsi="Times New Roman" w:cs="Times New Roman"/>
                    </w:rPr>
                    <w:t>通过</w:t>
                  </w:r>
                  <w:r>
                    <w:rPr>
                      <w:rFonts w:hint="default" w:ascii="Times New Roman" w:hAnsi="Times New Roman" w:cs="Times New Roman"/>
                      <w:lang w:eastAsia="zh-CN"/>
                    </w:rPr>
                    <w:t>设备自带的油雾净化器处理后车间内无组织排放</w:t>
                  </w:r>
                </w:p>
              </w:tc>
              <w:tc>
                <w:tcPr>
                  <w:tcW w:w="2038" w:type="dxa"/>
                  <w:noWrap w:val="0"/>
                  <w:vAlign w:val="center"/>
                </w:tcPr>
                <w:p w14:paraId="47E232BA">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与环评一致</w:t>
                  </w:r>
                </w:p>
              </w:tc>
            </w:tr>
            <w:tr w14:paraId="6BA6C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783" w:type="dxa"/>
                  <w:vMerge w:val="continue"/>
                  <w:noWrap w:val="0"/>
                  <w:vAlign w:val="center"/>
                </w:tcPr>
                <w:p w14:paraId="76E01612">
                  <w:pPr>
                    <w:pStyle w:val="24"/>
                    <w:bidi w:val="0"/>
                    <w:rPr>
                      <w:rFonts w:hint="default" w:ascii="Times New Roman" w:hAnsi="Times New Roman" w:cs="Times New Roman"/>
                    </w:rPr>
                  </w:pPr>
                </w:p>
              </w:tc>
              <w:tc>
                <w:tcPr>
                  <w:tcW w:w="876" w:type="dxa"/>
                  <w:vMerge w:val="continue"/>
                  <w:noWrap w:val="0"/>
                  <w:vAlign w:val="center"/>
                </w:tcPr>
                <w:p w14:paraId="2EF5E9C0">
                  <w:pPr>
                    <w:pStyle w:val="24"/>
                    <w:bidi w:val="0"/>
                    <w:rPr>
                      <w:rFonts w:hint="default" w:ascii="Times New Roman" w:hAnsi="Times New Roman" w:cs="Times New Roman"/>
                    </w:rPr>
                  </w:pPr>
                </w:p>
              </w:tc>
              <w:tc>
                <w:tcPr>
                  <w:tcW w:w="4919" w:type="dxa"/>
                  <w:noWrap w:val="0"/>
                  <w:vAlign w:val="center"/>
                </w:tcPr>
                <w:p w14:paraId="5B8BD01D">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抛光工序产生的粉尘</w:t>
                  </w:r>
                  <w:r>
                    <w:rPr>
                      <w:rFonts w:hint="default" w:ascii="Times New Roman" w:hAnsi="Times New Roman" w:cs="Times New Roman"/>
                      <w:lang w:eastAsia="zh-CN"/>
                    </w:rPr>
                    <w:t>由</w:t>
                  </w:r>
                  <w:r>
                    <w:rPr>
                      <w:rFonts w:hint="default" w:ascii="Times New Roman" w:hAnsi="Times New Roman" w:cs="Times New Roman"/>
                    </w:rPr>
                    <w:t>通过</w:t>
                  </w:r>
                  <w:r>
                    <w:rPr>
                      <w:rFonts w:hint="default" w:ascii="Times New Roman" w:hAnsi="Times New Roman" w:cs="Times New Roman"/>
                      <w:lang w:eastAsia="zh-CN"/>
                    </w:rPr>
                    <w:t>袋式吸尘器</w:t>
                  </w:r>
                  <w:r>
                    <w:rPr>
                      <w:rFonts w:hint="default" w:ascii="Times New Roman" w:hAnsi="Times New Roman" w:cs="Times New Roman"/>
                    </w:rPr>
                    <w:t>处理后无组织排放</w:t>
                  </w:r>
                </w:p>
              </w:tc>
              <w:tc>
                <w:tcPr>
                  <w:tcW w:w="5324" w:type="dxa"/>
                  <w:shd w:val="clear" w:color="auto" w:fill="auto"/>
                  <w:noWrap w:val="0"/>
                  <w:vAlign w:val="center"/>
                </w:tcPr>
                <w:p w14:paraId="1627C142">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rPr>
                    <w:t>抛光工序产生的粉尘</w:t>
                  </w:r>
                  <w:r>
                    <w:rPr>
                      <w:rFonts w:hint="default" w:ascii="Times New Roman" w:hAnsi="Times New Roman" w:cs="Times New Roman"/>
                      <w:lang w:eastAsia="zh-CN"/>
                    </w:rPr>
                    <w:t>由</w:t>
                  </w:r>
                  <w:r>
                    <w:rPr>
                      <w:rFonts w:hint="default" w:ascii="Times New Roman" w:hAnsi="Times New Roman" w:cs="Times New Roman"/>
                    </w:rPr>
                    <w:t>通过</w:t>
                  </w:r>
                  <w:r>
                    <w:rPr>
                      <w:rFonts w:hint="eastAsia" w:ascii="Times New Roman" w:hAnsi="Times New Roman" w:cs="Times New Roman"/>
                      <w:lang w:val="en-US" w:eastAsia="zh-CN"/>
                    </w:rPr>
                    <w:t>移动式滤筒</w:t>
                  </w:r>
                  <w:r>
                    <w:rPr>
                      <w:rFonts w:hint="default" w:ascii="Times New Roman" w:hAnsi="Times New Roman" w:cs="Times New Roman"/>
                      <w:lang w:eastAsia="zh-CN"/>
                    </w:rPr>
                    <w:t>吸尘器</w:t>
                  </w:r>
                  <w:r>
                    <w:rPr>
                      <w:rFonts w:hint="default" w:ascii="Times New Roman" w:hAnsi="Times New Roman" w:cs="Times New Roman"/>
                    </w:rPr>
                    <w:t>处理后无组织排放</w:t>
                  </w:r>
                </w:p>
              </w:tc>
              <w:tc>
                <w:tcPr>
                  <w:tcW w:w="2038" w:type="dxa"/>
                  <w:noWrap w:val="0"/>
                  <w:vAlign w:val="center"/>
                </w:tcPr>
                <w:p w14:paraId="3195C94A">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lang w:val="en-US" w:eastAsia="zh-CN"/>
                    </w:rPr>
                  </w:pPr>
                  <w:r>
                    <w:rPr>
                      <w:rFonts w:hint="default" w:ascii="Times New Roman" w:hAnsi="Times New Roman" w:cs="Times New Roman"/>
                    </w:rPr>
                    <w:t>抛光工序产生的粉尘</w:t>
                  </w:r>
                  <w:r>
                    <w:rPr>
                      <w:rFonts w:hint="eastAsia" w:ascii="Times New Roman" w:hAnsi="Times New Roman" w:cs="Times New Roman"/>
                      <w:lang w:val="en-US" w:eastAsia="zh-CN"/>
                    </w:rPr>
                    <w:t>较少，实际采用</w:t>
                  </w:r>
                  <w:r>
                    <w:rPr>
                      <w:rFonts w:hint="eastAsia" w:cs="Times New Roman"/>
                      <w:lang w:val="en-US" w:eastAsia="zh-CN"/>
                    </w:rPr>
                    <w:t>移</w:t>
                  </w:r>
                  <w:r>
                    <w:rPr>
                      <w:rFonts w:hint="eastAsia" w:ascii="Times New Roman" w:hAnsi="Times New Roman" w:cs="Times New Roman"/>
                      <w:lang w:val="en-US" w:eastAsia="zh-CN"/>
                    </w:rPr>
                    <w:t>动式滤筒</w:t>
                  </w:r>
                  <w:r>
                    <w:rPr>
                      <w:rFonts w:hint="default" w:ascii="Times New Roman" w:hAnsi="Times New Roman" w:cs="Times New Roman"/>
                      <w:lang w:eastAsia="zh-CN"/>
                    </w:rPr>
                    <w:t>吸尘器</w:t>
                  </w:r>
                  <w:r>
                    <w:rPr>
                      <w:rFonts w:hint="default" w:ascii="Times New Roman" w:hAnsi="Times New Roman" w:cs="Times New Roman"/>
                    </w:rPr>
                    <w:t>处理后无组织排放</w:t>
                  </w:r>
                </w:p>
              </w:tc>
            </w:tr>
            <w:tr w14:paraId="7E4CE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783" w:type="dxa"/>
                  <w:vMerge w:val="continue"/>
                  <w:noWrap w:val="0"/>
                  <w:vAlign w:val="center"/>
                </w:tcPr>
                <w:p w14:paraId="2FAA49BF">
                  <w:pPr>
                    <w:pStyle w:val="24"/>
                    <w:bidi w:val="0"/>
                    <w:rPr>
                      <w:rFonts w:hint="default" w:ascii="Times New Roman" w:hAnsi="Times New Roman" w:cs="Times New Roman"/>
                    </w:rPr>
                  </w:pPr>
                </w:p>
              </w:tc>
              <w:tc>
                <w:tcPr>
                  <w:tcW w:w="876" w:type="dxa"/>
                  <w:vMerge w:val="restart"/>
                  <w:noWrap w:val="0"/>
                  <w:vAlign w:val="center"/>
                </w:tcPr>
                <w:p w14:paraId="4CAD4341">
                  <w:pPr>
                    <w:pStyle w:val="24"/>
                    <w:bidi w:val="0"/>
                    <w:rPr>
                      <w:rFonts w:hint="default" w:ascii="Times New Roman" w:hAnsi="Times New Roman" w:cs="Times New Roman"/>
                    </w:rPr>
                  </w:pPr>
                  <w:r>
                    <w:rPr>
                      <w:rFonts w:hint="default" w:ascii="Times New Roman" w:hAnsi="Times New Roman" w:cs="Times New Roman"/>
                    </w:rPr>
                    <w:t>固废</w:t>
                  </w:r>
                </w:p>
              </w:tc>
              <w:tc>
                <w:tcPr>
                  <w:tcW w:w="4919" w:type="dxa"/>
                  <w:noWrap w:val="0"/>
                  <w:vAlign w:val="center"/>
                </w:tcPr>
                <w:p w14:paraId="2D68559B">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生活垃圾由生活垃圾收集箱暂存，定期交由环卫部门清运处理。</w:t>
                  </w:r>
                </w:p>
              </w:tc>
              <w:tc>
                <w:tcPr>
                  <w:tcW w:w="5324" w:type="dxa"/>
                  <w:shd w:val="clear" w:color="auto" w:fill="auto"/>
                  <w:noWrap w:val="0"/>
                  <w:vAlign w:val="center"/>
                </w:tcPr>
                <w:p w14:paraId="536FEDE7">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rPr>
                    <w:t>生活垃圾由生活垃圾收集箱暂存，定期交由环卫部门清运处理。</w:t>
                  </w:r>
                </w:p>
              </w:tc>
              <w:tc>
                <w:tcPr>
                  <w:tcW w:w="2038" w:type="dxa"/>
                  <w:noWrap w:val="0"/>
                  <w:vAlign w:val="center"/>
                </w:tcPr>
                <w:p w14:paraId="23E6B852">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cs="Times New Roman"/>
                    </w:rPr>
                  </w:pPr>
                  <w:r>
                    <w:rPr>
                      <w:rFonts w:hint="eastAsia" w:ascii="Times New Roman" w:hAnsi="Times New Roman" w:eastAsia="宋体" w:cs="Times New Roman"/>
                      <w:lang w:val="en-US" w:eastAsia="zh-CN"/>
                    </w:rPr>
                    <w:t>与环评一致</w:t>
                  </w:r>
                </w:p>
              </w:tc>
            </w:tr>
            <w:tr w14:paraId="7CF73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783" w:type="dxa"/>
                  <w:vMerge w:val="continue"/>
                  <w:noWrap w:val="0"/>
                  <w:vAlign w:val="center"/>
                </w:tcPr>
                <w:p w14:paraId="2E0FF4F5">
                  <w:pPr>
                    <w:pStyle w:val="24"/>
                    <w:bidi w:val="0"/>
                    <w:rPr>
                      <w:rFonts w:hint="default" w:ascii="Times New Roman" w:hAnsi="Times New Roman" w:cs="Times New Roman"/>
                    </w:rPr>
                  </w:pPr>
                </w:p>
              </w:tc>
              <w:tc>
                <w:tcPr>
                  <w:tcW w:w="876" w:type="dxa"/>
                  <w:vMerge w:val="continue"/>
                  <w:noWrap w:val="0"/>
                  <w:vAlign w:val="center"/>
                </w:tcPr>
                <w:p w14:paraId="27BE6F09">
                  <w:pPr>
                    <w:pStyle w:val="24"/>
                    <w:bidi w:val="0"/>
                    <w:rPr>
                      <w:rFonts w:hint="default" w:ascii="Times New Roman" w:hAnsi="Times New Roman" w:cs="Times New Roman"/>
                    </w:rPr>
                  </w:pPr>
                </w:p>
              </w:tc>
              <w:tc>
                <w:tcPr>
                  <w:tcW w:w="4919" w:type="dxa"/>
                  <w:noWrap w:val="0"/>
                  <w:vAlign w:val="center"/>
                </w:tcPr>
                <w:p w14:paraId="7676AD39">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生化污泥和砂轮依托厂区原有一般工业固废暂存区</w:t>
                  </w:r>
                  <w:r>
                    <w:rPr>
                      <w:rFonts w:hint="default" w:ascii="Times New Roman" w:hAnsi="Times New Roman" w:cs="Times New Roman"/>
                      <w:lang w:eastAsia="zh-CN"/>
                    </w:rPr>
                    <w:t>贮存</w:t>
                  </w:r>
                  <w:r>
                    <w:rPr>
                      <w:rFonts w:hint="default" w:ascii="Times New Roman" w:hAnsi="Times New Roman" w:cs="Times New Roman"/>
                    </w:rPr>
                    <w:t>，一般工业固废暂存区建筑面积约100m</w:t>
                  </w:r>
                  <w:r>
                    <w:rPr>
                      <w:rFonts w:hint="default" w:ascii="Times New Roman" w:hAnsi="Times New Roman" w:cs="Times New Roman"/>
                      <w:vertAlign w:val="superscript"/>
                    </w:rPr>
                    <w:t>2</w:t>
                  </w:r>
                  <w:r>
                    <w:rPr>
                      <w:rFonts w:hint="default" w:ascii="Times New Roman" w:hAnsi="Times New Roman" w:cs="Times New Roman"/>
                    </w:rPr>
                    <w:t>，位于厂房西南侧。</w:t>
                  </w:r>
                </w:p>
              </w:tc>
              <w:tc>
                <w:tcPr>
                  <w:tcW w:w="5324" w:type="dxa"/>
                  <w:shd w:val="clear" w:color="auto" w:fill="auto"/>
                  <w:noWrap w:val="0"/>
                  <w:vAlign w:val="center"/>
                </w:tcPr>
                <w:p w14:paraId="2201878A">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rPr>
                    <w:t>生化污泥和砂轮依托厂区原有一般工业固废暂存区</w:t>
                  </w:r>
                  <w:r>
                    <w:rPr>
                      <w:rFonts w:hint="default" w:ascii="Times New Roman" w:hAnsi="Times New Roman" w:cs="Times New Roman"/>
                      <w:lang w:eastAsia="zh-CN"/>
                    </w:rPr>
                    <w:t>贮存</w:t>
                  </w:r>
                  <w:r>
                    <w:rPr>
                      <w:rFonts w:hint="default" w:ascii="Times New Roman" w:hAnsi="Times New Roman" w:cs="Times New Roman"/>
                    </w:rPr>
                    <w:t>，一般工业固废暂存区建筑面积约100m</w:t>
                  </w:r>
                  <w:r>
                    <w:rPr>
                      <w:rFonts w:hint="default" w:ascii="Times New Roman" w:hAnsi="Times New Roman" w:cs="Times New Roman"/>
                      <w:vertAlign w:val="superscript"/>
                    </w:rPr>
                    <w:t>2</w:t>
                  </w:r>
                  <w:r>
                    <w:rPr>
                      <w:rFonts w:hint="default" w:ascii="Times New Roman" w:hAnsi="Times New Roman" w:cs="Times New Roman"/>
                    </w:rPr>
                    <w:t>，位于厂房西南侧。</w:t>
                  </w:r>
                </w:p>
              </w:tc>
              <w:tc>
                <w:tcPr>
                  <w:tcW w:w="2038" w:type="dxa"/>
                  <w:noWrap w:val="0"/>
                  <w:vAlign w:val="center"/>
                </w:tcPr>
                <w:p w14:paraId="5B722B46">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cs="Times New Roman"/>
                    </w:rPr>
                  </w:pPr>
                  <w:r>
                    <w:rPr>
                      <w:rFonts w:hint="eastAsia" w:ascii="Times New Roman" w:hAnsi="Times New Roman" w:eastAsia="宋体" w:cs="Times New Roman"/>
                      <w:lang w:val="en-US" w:eastAsia="zh-CN"/>
                    </w:rPr>
                    <w:t>与环评一致</w:t>
                  </w:r>
                </w:p>
              </w:tc>
            </w:tr>
            <w:tr w14:paraId="02E2D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783" w:type="dxa"/>
                  <w:vMerge w:val="continue"/>
                  <w:noWrap w:val="0"/>
                  <w:vAlign w:val="center"/>
                </w:tcPr>
                <w:p w14:paraId="32E78B8A">
                  <w:pPr>
                    <w:pStyle w:val="24"/>
                    <w:bidi w:val="0"/>
                    <w:rPr>
                      <w:rFonts w:hint="default" w:ascii="Times New Roman" w:hAnsi="Times New Roman" w:cs="Times New Roman"/>
                    </w:rPr>
                  </w:pPr>
                </w:p>
              </w:tc>
              <w:tc>
                <w:tcPr>
                  <w:tcW w:w="876" w:type="dxa"/>
                  <w:vMerge w:val="continue"/>
                  <w:noWrap w:val="0"/>
                  <w:vAlign w:val="center"/>
                </w:tcPr>
                <w:p w14:paraId="1A815024">
                  <w:pPr>
                    <w:pStyle w:val="24"/>
                    <w:bidi w:val="0"/>
                    <w:rPr>
                      <w:rFonts w:hint="default" w:ascii="Times New Roman" w:hAnsi="Times New Roman" w:cs="Times New Roman"/>
                    </w:rPr>
                  </w:pPr>
                </w:p>
              </w:tc>
              <w:tc>
                <w:tcPr>
                  <w:tcW w:w="4919" w:type="dxa"/>
                  <w:noWrap w:val="0"/>
                  <w:vAlign w:val="center"/>
                </w:tcPr>
                <w:p w14:paraId="77EB3656">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油泥、废</w:t>
                  </w:r>
                  <w:r>
                    <w:rPr>
                      <w:rFonts w:hint="eastAsia" w:cs="Times New Roman"/>
                      <w:lang w:eastAsia="zh-CN"/>
                    </w:rPr>
                    <w:t>切削、磨削</w:t>
                  </w:r>
                  <w:r>
                    <w:rPr>
                      <w:rFonts w:hint="default" w:ascii="Times New Roman" w:hAnsi="Times New Roman" w:cs="Times New Roman"/>
                    </w:rPr>
                    <w:t>液、油桶、含油污泥、</w:t>
                  </w:r>
                  <w:r>
                    <w:rPr>
                      <w:rFonts w:hint="eastAsia" w:cs="Times New Roman"/>
                      <w:lang w:eastAsia="zh-CN"/>
                    </w:rPr>
                    <w:t>废液压油、</w:t>
                  </w:r>
                  <w:r>
                    <w:rPr>
                      <w:rFonts w:hint="default" w:ascii="Times New Roman" w:hAnsi="Times New Roman" w:cs="Times New Roman"/>
                    </w:rPr>
                    <w:t>静电油烟净化器收集的废油依托厂区北侧原有危废库</w:t>
                  </w:r>
                  <w:r>
                    <w:rPr>
                      <w:rFonts w:hint="default" w:ascii="Times New Roman" w:hAnsi="Times New Roman" w:cs="Times New Roman"/>
                      <w:lang w:eastAsia="zh-CN"/>
                    </w:rPr>
                    <w:t>暂存</w:t>
                  </w:r>
                  <w:r>
                    <w:rPr>
                      <w:rFonts w:hint="default" w:ascii="Times New Roman" w:hAnsi="Times New Roman" w:cs="Times New Roman"/>
                    </w:rPr>
                    <w:t>，</w:t>
                  </w:r>
                  <w:r>
                    <w:rPr>
                      <w:rFonts w:hint="default" w:ascii="Times New Roman" w:hAnsi="Times New Roman" w:cs="Times New Roman"/>
                      <w:lang w:eastAsia="zh-CN"/>
                    </w:rPr>
                    <w:t>危废库</w:t>
                  </w:r>
                  <w:r>
                    <w:rPr>
                      <w:rFonts w:hint="default" w:ascii="Times New Roman" w:hAnsi="Times New Roman" w:cs="Times New Roman"/>
                    </w:rPr>
                    <w:t>建筑面积约100m</w:t>
                  </w:r>
                  <w:r>
                    <w:rPr>
                      <w:rFonts w:hint="default" w:ascii="Times New Roman" w:hAnsi="Times New Roman" w:cs="Times New Roman"/>
                      <w:vertAlign w:val="superscript"/>
                    </w:rPr>
                    <w:t>2</w:t>
                  </w:r>
                  <w:r>
                    <w:rPr>
                      <w:rFonts w:hint="default" w:ascii="Times New Roman" w:hAnsi="Times New Roman" w:cs="Times New Roman"/>
                    </w:rPr>
                    <w:t>，位于厂房西侧。</w:t>
                  </w:r>
                </w:p>
              </w:tc>
              <w:tc>
                <w:tcPr>
                  <w:tcW w:w="5324" w:type="dxa"/>
                  <w:shd w:val="clear" w:color="auto" w:fill="auto"/>
                  <w:noWrap w:val="0"/>
                  <w:vAlign w:val="center"/>
                </w:tcPr>
                <w:p w14:paraId="2C1ADA08">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rPr>
                    <w:t>油泥、废</w:t>
                  </w:r>
                  <w:r>
                    <w:rPr>
                      <w:rFonts w:hint="eastAsia" w:cs="Times New Roman"/>
                      <w:lang w:eastAsia="zh-CN"/>
                    </w:rPr>
                    <w:t>切削、磨削</w:t>
                  </w:r>
                  <w:r>
                    <w:rPr>
                      <w:rFonts w:hint="default" w:ascii="Times New Roman" w:hAnsi="Times New Roman" w:cs="Times New Roman"/>
                    </w:rPr>
                    <w:t>液、油桶、含油污泥、</w:t>
                  </w:r>
                  <w:r>
                    <w:rPr>
                      <w:rFonts w:hint="eastAsia" w:cs="Times New Roman"/>
                      <w:lang w:eastAsia="zh-CN"/>
                    </w:rPr>
                    <w:t>废液压油、</w:t>
                  </w:r>
                  <w:r>
                    <w:rPr>
                      <w:rFonts w:hint="default" w:ascii="Times New Roman" w:hAnsi="Times New Roman" w:cs="Times New Roman"/>
                    </w:rPr>
                    <w:t>静电油烟净化器收集的废油依托厂区北侧原有危废库</w:t>
                  </w:r>
                  <w:r>
                    <w:rPr>
                      <w:rFonts w:hint="default" w:ascii="Times New Roman" w:hAnsi="Times New Roman" w:cs="Times New Roman"/>
                      <w:lang w:eastAsia="zh-CN"/>
                    </w:rPr>
                    <w:t>暂存</w:t>
                  </w:r>
                  <w:r>
                    <w:rPr>
                      <w:rFonts w:hint="default" w:ascii="Times New Roman" w:hAnsi="Times New Roman" w:cs="Times New Roman"/>
                    </w:rPr>
                    <w:t>，</w:t>
                  </w:r>
                  <w:r>
                    <w:rPr>
                      <w:rFonts w:hint="default" w:ascii="Times New Roman" w:hAnsi="Times New Roman" w:cs="Times New Roman"/>
                      <w:lang w:eastAsia="zh-CN"/>
                    </w:rPr>
                    <w:t>危废库</w:t>
                  </w:r>
                  <w:r>
                    <w:rPr>
                      <w:rFonts w:hint="default" w:ascii="Times New Roman" w:hAnsi="Times New Roman" w:cs="Times New Roman"/>
                    </w:rPr>
                    <w:t>建筑面积约100m</w:t>
                  </w:r>
                  <w:r>
                    <w:rPr>
                      <w:rFonts w:hint="default" w:ascii="Times New Roman" w:hAnsi="Times New Roman" w:cs="Times New Roman"/>
                      <w:vertAlign w:val="superscript"/>
                    </w:rPr>
                    <w:t>2</w:t>
                  </w:r>
                  <w:r>
                    <w:rPr>
                      <w:rFonts w:hint="default" w:ascii="Times New Roman" w:hAnsi="Times New Roman" w:cs="Times New Roman"/>
                    </w:rPr>
                    <w:t>，位于厂房西侧。</w:t>
                  </w:r>
                </w:p>
              </w:tc>
              <w:tc>
                <w:tcPr>
                  <w:tcW w:w="2038" w:type="dxa"/>
                  <w:noWrap w:val="0"/>
                  <w:vAlign w:val="center"/>
                </w:tcPr>
                <w:p w14:paraId="12FE3F38">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cs="Times New Roman"/>
                    </w:rPr>
                  </w:pPr>
                  <w:r>
                    <w:rPr>
                      <w:rFonts w:hint="eastAsia" w:ascii="Times New Roman" w:hAnsi="Times New Roman" w:eastAsia="宋体" w:cs="Times New Roman"/>
                      <w:lang w:val="en-US" w:eastAsia="zh-CN"/>
                    </w:rPr>
                    <w:t>与环评一致</w:t>
                  </w:r>
                </w:p>
              </w:tc>
            </w:tr>
            <w:tr w14:paraId="6DF48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7" w:hRule="atLeast"/>
                <w:jc w:val="center"/>
              </w:trPr>
              <w:tc>
                <w:tcPr>
                  <w:tcW w:w="783" w:type="dxa"/>
                  <w:vMerge w:val="continue"/>
                  <w:noWrap w:val="0"/>
                  <w:vAlign w:val="center"/>
                </w:tcPr>
                <w:p w14:paraId="585488A3">
                  <w:pPr>
                    <w:pStyle w:val="24"/>
                    <w:bidi w:val="0"/>
                    <w:rPr>
                      <w:rFonts w:hint="default" w:ascii="Times New Roman" w:hAnsi="Times New Roman" w:cs="Times New Roman"/>
                    </w:rPr>
                  </w:pPr>
                </w:p>
              </w:tc>
              <w:tc>
                <w:tcPr>
                  <w:tcW w:w="876" w:type="dxa"/>
                  <w:noWrap w:val="0"/>
                  <w:vAlign w:val="center"/>
                </w:tcPr>
                <w:p w14:paraId="769E52E3">
                  <w:pPr>
                    <w:pStyle w:val="24"/>
                    <w:bidi w:val="0"/>
                    <w:rPr>
                      <w:rFonts w:hint="default" w:ascii="Times New Roman" w:hAnsi="Times New Roman" w:cs="Times New Roman"/>
                    </w:rPr>
                  </w:pPr>
                  <w:r>
                    <w:rPr>
                      <w:rFonts w:hint="default" w:ascii="Times New Roman" w:hAnsi="Times New Roman" w:cs="Times New Roman"/>
                    </w:rPr>
                    <w:t>噪声</w:t>
                  </w:r>
                </w:p>
              </w:tc>
              <w:tc>
                <w:tcPr>
                  <w:tcW w:w="4919" w:type="dxa"/>
                  <w:noWrap w:val="0"/>
                  <w:vAlign w:val="center"/>
                </w:tcPr>
                <w:p w14:paraId="2373C5D0">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① 选用符合国家噪声标准规定的设备；</w:t>
                  </w:r>
                </w:p>
                <w:p w14:paraId="6B77CAE5">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② 合理车间平面布置，尽量集中布置高噪设备，并利用绿化加强噪声的影响；</w:t>
                  </w:r>
                </w:p>
                <w:p w14:paraId="6C5A1676">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③ 对于声源上无法根治的生产噪声，分别按不同情况采用消声隔振、隔声、吸声等措施，并着重控制声强高的噪声源；</w:t>
                  </w:r>
                </w:p>
                <w:p w14:paraId="1185EBFE">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④ 合理安排物流运输计划。</w:t>
                  </w:r>
                </w:p>
              </w:tc>
              <w:tc>
                <w:tcPr>
                  <w:tcW w:w="5324" w:type="dxa"/>
                  <w:shd w:val="clear" w:color="auto" w:fill="auto"/>
                  <w:noWrap w:val="0"/>
                  <w:vAlign w:val="center"/>
                </w:tcPr>
                <w:p w14:paraId="2B8FCCDC">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① 选用符合国家噪声标准规定的设备；</w:t>
                  </w:r>
                </w:p>
                <w:p w14:paraId="3F1A7ED8">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② 合理车间平面布置，尽量集中布置高噪设备，并利用绿化加强噪声的影响；</w:t>
                  </w:r>
                </w:p>
                <w:p w14:paraId="4F1F7F5D">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cs="Times New Roman"/>
                    </w:rPr>
                    <w:t>③ 对于声源上无法根治的生产噪声，分别按不同情况采用消声隔振、隔声、吸声等措施，并着重控制声强高的噪声源；</w:t>
                  </w:r>
                </w:p>
                <w:p w14:paraId="268D0AB4">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rPr>
                    <w:t>④ 合理安排物流运输计划。</w:t>
                  </w:r>
                </w:p>
              </w:tc>
              <w:tc>
                <w:tcPr>
                  <w:tcW w:w="2038" w:type="dxa"/>
                  <w:noWrap w:val="0"/>
                  <w:vAlign w:val="center"/>
                </w:tcPr>
                <w:p w14:paraId="056DE6F3">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cs="Times New Roman"/>
                    </w:rPr>
                  </w:pPr>
                  <w:r>
                    <w:rPr>
                      <w:rFonts w:hint="eastAsia" w:ascii="Times New Roman" w:hAnsi="Times New Roman" w:eastAsia="宋体" w:cs="Times New Roman"/>
                      <w:lang w:val="en-US" w:eastAsia="zh-CN"/>
                    </w:rPr>
                    <w:t>与环评一致</w:t>
                  </w:r>
                </w:p>
              </w:tc>
            </w:tr>
            <w:tr w14:paraId="13D396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5" w:hRule="atLeast"/>
                <w:jc w:val="center"/>
              </w:trPr>
              <w:tc>
                <w:tcPr>
                  <w:tcW w:w="783" w:type="dxa"/>
                  <w:vMerge w:val="continue"/>
                  <w:noWrap w:val="0"/>
                  <w:vAlign w:val="center"/>
                </w:tcPr>
                <w:p w14:paraId="5C517AAE">
                  <w:pPr>
                    <w:pStyle w:val="24"/>
                    <w:bidi w:val="0"/>
                    <w:rPr>
                      <w:rFonts w:hint="default" w:ascii="Times New Roman" w:hAnsi="Times New Roman" w:cs="Times New Roman"/>
                    </w:rPr>
                  </w:pPr>
                </w:p>
              </w:tc>
              <w:tc>
                <w:tcPr>
                  <w:tcW w:w="876" w:type="dxa"/>
                  <w:noWrap w:val="0"/>
                  <w:vAlign w:val="center"/>
                </w:tcPr>
                <w:p w14:paraId="0A9C3A8B">
                  <w:pPr>
                    <w:pStyle w:val="24"/>
                    <w:bidi w:val="0"/>
                    <w:rPr>
                      <w:rFonts w:hint="default" w:ascii="Times New Roman" w:hAnsi="Times New Roman" w:cs="Times New Roman"/>
                      <w:lang w:eastAsia="zh-CN"/>
                    </w:rPr>
                  </w:pPr>
                  <w:r>
                    <w:rPr>
                      <w:rFonts w:hint="default" w:ascii="Times New Roman" w:hAnsi="Times New Roman" w:cs="Times New Roman"/>
                      <w:lang w:eastAsia="zh-CN"/>
                    </w:rPr>
                    <w:t>环境</w:t>
                  </w:r>
                </w:p>
                <w:p w14:paraId="7B54CEEA">
                  <w:pPr>
                    <w:pStyle w:val="24"/>
                    <w:bidi w:val="0"/>
                    <w:rPr>
                      <w:rFonts w:hint="default" w:ascii="Times New Roman" w:hAnsi="Times New Roman" w:eastAsia="宋体" w:cs="Times New Roman"/>
                      <w:lang w:eastAsia="zh-CN"/>
                    </w:rPr>
                  </w:pPr>
                  <w:r>
                    <w:rPr>
                      <w:rFonts w:hint="default" w:ascii="Times New Roman" w:hAnsi="Times New Roman" w:cs="Times New Roman"/>
                      <w:lang w:eastAsia="zh-CN"/>
                    </w:rPr>
                    <w:t>风险</w:t>
                  </w:r>
                </w:p>
              </w:tc>
              <w:tc>
                <w:tcPr>
                  <w:tcW w:w="4919" w:type="dxa"/>
                  <w:noWrap w:val="0"/>
                  <w:vAlign w:val="center"/>
                </w:tcPr>
                <w:p w14:paraId="785E9544">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cs="Times New Roman"/>
                    </w:rPr>
                  </w:pPr>
                  <w:r>
                    <w:rPr>
                      <w:rFonts w:hint="default" w:ascii="Times New Roman" w:hAnsi="Times New Roman" w:eastAsia="宋体" w:cs="Times New Roman"/>
                    </w:rPr>
                    <w:t>①</w:t>
                  </w:r>
                  <w:r>
                    <w:rPr>
                      <w:rFonts w:hint="default" w:ascii="Times New Roman" w:hAnsi="Times New Roman" w:cs="Times New Roman"/>
                    </w:rPr>
                    <w:t>组织厂区的安全环保管理相关人员进行环保安全工作；</w:t>
                  </w:r>
                  <w:r>
                    <w:rPr>
                      <w:rFonts w:hint="default" w:ascii="Times New Roman" w:hAnsi="Times New Roman" w:eastAsia="宋体" w:cs="Times New Roman"/>
                    </w:rPr>
                    <w:t>②</w:t>
                  </w:r>
                  <w:r>
                    <w:rPr>
                      <w:rFonts w:hint="default" w:ascii="Times New Roman" w:hAnsi="Times New Roman" w:cs="Times New Roman"/>
                    </w:rPr>
                    <w:t>严格按照规范要求建设厂区；</w:t>
                  </w:r>
                  <w:r>
                    <w:rPr>
                      <w:rFonts w:hint="default" w:ascii="Times New Roman" w:hAnsi="Times New Roman" w:eastAsia="宋体" w:cs="Times New Roman"/>
                    </w:rPr>
                    <w:t>③</w:t>
                  </w:r>
                  <w:r>
                    <w:rPr>
                      <w:rFonts w:hint="default" w:ascii="Times New Roman" w:hAnsi="Times New Roman" w:cs="Times New Roman"/>
                    </w:rPr>
                    <w:t>依托厂内1座</w:t>
                  </w:r>
                  <w:r>
                    <w:rPr>
                      <w:rFonts w:hint="default" w:ascii="Times New Roman" w:hAnsi="Times New Roman" w:cs="Times New Roman"/>
                      <w:lang w:val="en-US" w:eastAsia="zh-CN"/>
                    </w:rPr>
                    <w:t>20</w:t>
                  </w:r>
                  <w:r>
                    <w:rPr>
                      <w:rFonts w:hint="default" w:ascii="Times New Roman" w:hAnsi="Times New Roman" w:cs="Times New Roman"/>
                    </w:rPr>
                    <w:t>0m</w:t>
                  </w:r>
                  <w:r>
                    <w:rPr>
                      <w:rFonts w:hint="default" w:ascii="Times New Roman" w:hAnsi="Times New Roman" w:cs="Times New Roman"/>
                      <w:vertAlign w:val="superscript"/>
                    </w:rPr>
                    <w:t>3</w:t>
                  </w:r>
                  <w:r>
                    <w:rPr>
                      <w:rFonts w:hint="default" w:ascii="Times New Roman" w:hAnsi="Times New Roman" w:cs="Times New Roman"/>
                    </w:rPr>
                    <w:t>事故应急池；</w:t>
                  </w:r>
                  <w:r>
                    <w:rPr>
                      <w:rFonts w:hint="default" w:ascii="Times New Roman" w:hAnsi="Times New Roman" w:eastAsia="宋体" w:cs="Times New Roman"/>
                    </w:rPr>
                    <w:t>④</w:t>
                  </w:r>
                  <w:r>
                    <w:rPr>
                      <w:rFonts w:hint="default" w:ascii="Times New Roman" w:hAnsi="Times New Roman" w:cs="Times New Roman"/>
                    </w:rPr>
                    <w:t>设置水泥硬化地面等防渗漏措施，同时在在雨排口设事故废水切断措施；</w:t>
                  </w:r>
                  <w:r>
                    <w:rPr>
                      <w:rFonts w:hint="default" w:ascii="Times New Roman" w:hAnsi="Times New Roman" w:eastAsia="宋体" w:cs="Times New Roman"/>
                    </w:rPr>
                    <w:t>⑤</w:t>
                  </w:r>
                  <w:r>
                    <w:rPr>
                      <w:rFonts w:hint="default" w:ascii="Times New Roman" w:hAnsi="Times New Roman" w:cs="Times New Roman"/>
                    </w:rPr>
                    <w:t>建设有消防及火灾报警系统；</w:t>
                  </w:r>
                  <w:r>
                    <w:rPr>
                      <w:rFonts w:hint="default" w:ascii="Times New Roman" w:hAnsi="Times New Roman" w:eastAsia="宋体" w:cs="Times New Roman"/>
                    </w:rPr>
                    <w:t>⑥</w:t>
                  </w:r>
                  <w:r>
                    <w:rPr>
                      <w:rFonts w:hint="default" w:ascii="Times New Roman" w:hAnsi="Times New Roman" w:cs="Times New Roman"/>
                    </w:rPr>
                    <w:t>设置有应急处置措施</w:t>
                  </w:r>
                </w:p>
              </w:tc>
              <w:tc>
                <w:tcPr>
                  <w:tcW w:w="5324" w:type="dxa"/>
                  <w:shd w:val="clear" w:color="auto" w:fill="auto"/>
                  <w:noWrap w:val="0"/>
                  <w:vAlign w:val="center"/>
                </w:tcPr>
                <w:p w14:paraId="023C31B9">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2"/>
                      <w:sz w:val="21"/>
                      <w:szCs w:val="20"/>
                      <w:lang w:val="en-US" w:eastAsia="zh-CN" w:bidi="ar"/>
                    </w:rPr>
                  </w:pPr>
                  <w:r>
                    <w:rPr>
                      <w:rFonts w:hint="default" w:ascii="Times New Roman" w:hAnsi="Times New Roman" w:eastAsia="宋体" w:cs="Times New Roman"/>
                    </w:rPr>
                    <w:t>①</w:t>
                  </w:r>
                  <w:r>
                    <w:rPr>
                      <w:rFonts w:hint="default" w:ascii="Times New Roman" w:hAnsi="Times New Roman" w:cs="Times New Roman"/>
                    </w:rPr>
                    <w:t>组织厂区的安全环保管理相关人员进行环保安全工作；</w:t>
                  </w:r>
                  <w:r>
                    <w:rPr>
                      <w:rFonts w:hint="default" w:ascii="Times New Roman" w:hAnsi="Times New Roman" w:eastAsia="宋体" w:cs="Times New Roman"/>
                    </w:rPr>
                    <w:t>②</w:t>
                  </w:r>
                  <w:r>
                    <w:rPr>
                      <w:rFonts w:hint="default" w:ascii="Times New Roman" w:hAnsi="Times New Roman" w:cs="Times New Roman"/>
                    </w:rPr>
                    <w:t>严格按照规范要求建设厂区；</w:t>
                  </w:r>
                  <w:r>
                    <w:rPr>
                      <w:rFonts w:hint="default" w:ascii="Times New Roman" w:hAnsi="Times New Roman" w:eastAsia="宋体" w:cs="Times New Roman"/>
                    </w:rPr>
                    <w:t>③</w:t>
                  </w:r>
                  <w:r>
                    <w:rPr>
                      <w:rFonts w:hint="default" w:ascii="Times New Roman" w:hAnsi="Times New Roman" w:cs="Times New Roman"/>
                    </w:rPr>
                    <w:t>依托厂内1座</w:t>
                  </w:r>
                  <w:r>
                    <w:rPr>
                      <w:rFonts w:hint="default" w:ascii="Times New Roman" w:hAnsi="Times New Roman" w:cs="Times New Roman"/>
                      <w:lang w:val="en-US" w:eastAsia="zh-CN"/>
                    </w:rPr>
                    <w:t>20</w:t>
                  </w:r>
                  <w:r>
                    <w:rPr>
                      <w:rFonts w:hint="default" w:ascii="Times New Roman" w:hAnsi="Times New Roman" w:cs="Times New Roman"/>
                    </w:rPr>
                    <w:t>0m</w:t>
                  </w:r>
                  <w:r>
                    <w:rPr>
                      <w:rFonts w:hint="default" w:ascii="Times New Roman" w:hAnsi="Times New Roman" w:cs="Times New Roman"/>
                      <w:vertAlign w:val="superscript"/>
                    </w:rPr>
                    <w:t>3</w:t>
                  </w:r>
                  <w:r>
                    <w:rPr>
                      <w:rFonts w:hint="default" w:ascii="Times New Roman" w:hAnsi="Times New Roman" w:cs="Times New Roman"/>
                    </w:rPr>
                    <w:t>事故应急池；</w:t>
                  </w:r>
                  <w:r>
                    <w:rPr>
                      <w:rFonts w:hint="default" w:ascii="Times New Roman" w:hAnsi="Times New Roman" w:eastAsia="宋体" w:cs="Times New Roman"/>
                    </w:rPr>
                    <w:t>④</w:t>
                  </w:r>
                  <w:r>
                    <w:rPr>
                      <w:rFonts w:hint="default" w:ascii="Times New Roman" w:hAnsi="Times New Roman" w:cs="Times New Roman"/>
                    </w:rPr>
                    <w:t>设置水泥硬化地面等防渗漏措施，同时在在雨排口设事故废水切断措施；</w:t>
                  </w:r>
                  <w:r>
                    <w:rPr>
                      <w:rFonts w:hint="default" w:ascii="Times New Roman" w:hAnsi="Times New Roman" w:eastAsia="宋体" w:cs="Times New Roman"/>
                    </w:rPr>
                    <w:t>⑤</w:t>
                  </w:r>
                  <w:r>
                    <w:rPr>
                      <w:rFonts w:hint="default" w:ascii="Times New Roman" w:hAnsi="Times New Roman" w:cs="Times New Roman"/>
                    </w:rPr>
                    <w:t>建设有消防及火灾报警系统；</w:t>
                  </w:r>
                  <w:r>
                    <w:rPr>
                      <w:rFonts w:hint="default" w:ascii="Times New Roman" w:hAnsi="Times New Roman" w:eastAsia="宋体" w:cs="Times New Roman"/>
                    </w:rPr>
                    <w:t>⑥</w:t>
                  </w:r>
                  <w:r>
                    <w:rPr>
                      <w:rFonts w:hint="default" w:ascii="Times New Roman" w:hAnsi="Times New Roman" w:cs="Times New Roman"/>
                    </w:rPr>
                    <w:t>设置有应急处置措施</w:t>
                  </w:r>
                </w:p>
              </w:tc>
              <w:tc>
                <w:tcPr>
                  <w:tcW w:w="2038" w:type="dxa"/>
                  <w:noWrap w:val="0"/>
                  <w:vAlign w:val="center"/>
                </w:tcPr>
                <w:p w14:paraId="5BB35B77">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rPr>
                  </w:pPr>
                  <w:r>
                    <w:rPr>
                      <w:rFonts w:hint="eastAsia" w:ascii="Times New Roman" w:hAnsi="Times New Roman" w:eastAsia="宋体" w:cs="Times New Roman"/>
                      <w:lang w:val="en-US" w:eastAsia="zh-CN"/>
                    </w:rPr>
                    <w:t>与环评一致</w:t>
                  </w:r>
                </w:p>
              </w:tc>
            </w:tr>
            <w:tr w14:paraId="2685D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783" w:type="dxa"/>
                  <w:vMerge w:val="restart"/>
                  <w:noWrap w:val="0"/>
                  <w:vAlign w:val="center"/>
                </w:tcPr>
                <w:p w14:paraId="01F7C9EC">
                  <w:pPr>
                    <w:pStyle w:val="24"/>
                    <w:bidi w:val="0"/>
                    <w:ind w:firstLine="0" w:firstLineChars="0"/>
                    <w:rPr>
                      <w:rFonts w:hint="default" w:ascii="Times New Roman" w:hAnsi="Times New Roman" w:cs="Times New Roman"/>
                    </w:rPr>
                  </w:pPr>
                  <w:r>
                    <w:rPr>
                      <w:rFonts w:hint="default" w:ascii="Times New Roman" w:hAnsi="Times New Roman" w:cs="Times New Roman"/>
                    </w:rPr>
                    <w:t>储运</w:t>
                  </w:r>
                </w:p>
                <w:p w14:paraId="34EF178A">
                  <w:pPr>
                    <w:pStyle w:val="24"/>
                    <w:bidi w:val="0"/>
                    <w:ind w:firstLine="0" w:firstLineChars="0"/>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rPr>
                    <w:t>工程</w:t>
                  </w:r>
                </w:p>
              </w:tc>
              <w:tc>
                <w:tcPr>
                  <w:tcW w:w="876" w:type="dxa"/>
                  <w:vMerge w:val="restart"/>
                  <w:noWrap w:val="0"/>
                  <w:vAlign w:val="center"/>
                </w:tcPr>
                <w:p w14:paraId="4391B43C">
                  <w:pPr>
                    <w:pStyle w:val="24"/>
                    <w:bidi w:val="0"/>
                    <w:rPr>
                      <w:rFonts w:hint="default" w:ascii="Times New Roman" w:hAnsi="Times New Roman" w:cs="Times New Roman"/>
                    </w:rPr>
                  </w:pPr>
                  <w:r>
                    <w:rPr>
                      <w:rFonts w:hint="default" w:ascii="Times New Roman" w:hAnsi="Times New Roman" w:cs="Times New Roman"/>
                    </w:rPr>
                    <w:t>材料</w:t>
                  </w:r>
                </w:p>
                <w:p w14:paraId="53E5394C">
                  <w:pPr>
                    <w:pStyle w:val="24"/>
                    <w:bidi w:val="0"/>
                    <w:ind w:firstLine="0" w:firstLineChars="0"/>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rPr>
                    <w:t>仓库</w:t>
                  </w:r>
                </w:p>
              </w:tc>
              <w:tc>
                <w:tcPr>
                  <w:tcW w:w="4919" w:type="dxa"/>
                  <w:noWrap w:val="0"/>
                  <w:vAlign w:val="center"/>
                </w:tcPr>
                <w:p w14:paraId="710B317F">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lang w:eastAsia="zh-CN"/>
                    </w:rPr>
                    <w:t>依托现有仓库，</w:t>
                  </w:r>
                  <w:r>
                    <w:rPr>
                      <w:rFonts w:hint="default" w:ascii="Times New Roman" w:hAnsi="Times New Roman" w:cs="Times New Roman"/>
                    </w:rPr>
                    <w:t>仓库建筑面积约217m</w:t>
                  </w:r>
                  <w:r>
                    <w:rPr>
                      <w:rFonts w:hint="default" w:ascii="Times New Roman" w:hAnsi="Times New Roman" w:cs="Times New Roman"/>
                      <w:vertAlign w:val="superscript"/>
                    </w:rPr>
                    <w:t>2</w:t>
                  </w:r>
                  <w:r>
                    <w:rPr>
                      <w:rFonts w:hint="default" w:ascii="Times New Roman" w:hAnsi="Times New Roman" w:cs="Times New Roman"/>
                    </w:rPr>
                    <w:t>，位于于厂房南侧。存放项目所需的外购毛坯件。</w:t>
                  </w:r>
                </w:p>
              </w:tc>
              <w:tc>
                <w:tcPr>
                  <w:tcW w:w="5324" w:type="dxa"/>
                  <w:shd w:val="clear" w:color="auto" w:fill="auto"/>
                  <w:noWrap w:val="0"/>
                  <w:vAlign w:val="center"/>
                </w:tcPr>
                <w:p w14:paraId="67977645">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lang w:eastAsia="zh-CN"/>
                    </w:rPr>
                    <w:t>依托现有仓库，</w:t>
                  </w:r>
                  <w:r>
                    <w:rPr>
                      <w:rFonts w:hint="default" w:ascii="Times New Roman" w:hAnsi="Times New Roman" w:cs="Times New Roman"/>
                    </w:rPr>
                    <w:t>仓库建筑面积约217m</w:t>
                  </w:r>
                  <w:r>
                    <w:rPr>
                      <w:rFonts w:hint="default" w:ascii="Times New Roman" w:hAnsi="Times New Roman" w:cs="Times New Roman"/>
                      <w:vertAlign w:val="superscript"/>
                    </w:rPr>
                    <w:t>2</w:t>
                  </w:r>
                  <w:r>
                    <w:rPr>
                      <w:rFonts w:hint="default" w:ascii="Times New Roman" w:hAnsi="Times New Roman" w:cs="Times New Roman"/>
                    </w:rPr>
                    <w:t>，位于于厂房南侧。存放项目所需的外购毛坯件。</w:t>
                  </w:r>
                </w:p>
              </w:tc>
              <w:tc>
                <w:tcPr>
                  <w:tcW w:w="2038" w:type="dxa"/>
                  <w:noWrap w:val="0"/>
                  <w:vAlign w:val="center"/>
                </w:tcPr>
                <w:p w14:paraId="6B27C7D0">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cs="Times New Roman"/>
                      <w:lang w:eastAsia="zh-CN"/>
                    </w:rPr>
                  </w:pPr>
                  <w:r>
                    <w:rPr>
                      <w:rFonts w:hint="eastAsia" w:ascii="Times New Roman" w:hAnsi="Times New Roman" w:eastAsia="宋体" w:cs="Times New Roman"/>
                      <w:lang w:val="en-US" w:eastAsia="zh-CN"/>
                    </w:rPr>
                    <w:t>与环评一致</w:t>
                  </w:r>
                </w:p>
              </w:tc>
            </w:tr>
            <w:tr w14:paraId="445D5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783" w:type="dxa"/>
                  <w:vMerge w:val="continue"/>
                </w:tcPr>
                <w:p w14:paraId="16419177">
                  <w:pPr>
                    <w:pStyle w:val="24"/>
                    <w:bidi w:val="0"/>
                    <w:rPr>
                      <w:rFonts w:hint="default" w:ascii="Times New Roman" w:hAnsi="Times New Roman" w:cs="Times New Roman"/>
                    </w:rPr>
                  </w:pPr>
                </w:p>
              </w:tc>
              <w:tc>
                <w:tcPr>
                  <w:tcW w:w="876" w:type="dxa"/>
                  <w:vMerge w:val="continue"/>
                </w:tcPr>
                <w:p w14:paraId="3DC6F59A">
                  <w:pPr>
                    <w:pStyle w:val="24"/>
                    <w:bidi w:val="0"/>
                    <w:rPr>
                      <w:rFonts w:hint="default" w:ascii="Times New Roman" w:hAnsi="Times New Roman" w:cs="Times New Roman"/>
                    </w:rPr>
                  </w:pPr>
                </w:p>
              </w:tc>
              <w:tc>
                <w:tcPr>
                  <w:tcW w:w="4919" w:type="dxa"/>
                  <w:vAlign w:val="center"/>
                </w:tcPr>
                <w:p w14:paraId="700A4EBB">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lang w:eastAsia="zh-CN"/>
                    </w:rPr>
                    <w:t>依托现有化学品仓库，</w:t>
                  </w:r>
                  <w:r>
                    <w:rPr>
                      <w:rFonts w:hint="default" w:ascii="Times New Roman" w:hAnsi="Times New Roman" w:cs="Times New Roman"/>
                    </w:rPr>
                    <w:t>化学品仓库面积约100m</w:t>
                  </w:r>
                  <w:r>
                    <w:rPr>
                      <w:rFonts w:hint="default" w:ascii="Times New Roman" w:hAnsi="Times New Roman" w:cs="Times New Roman"/>
                      <w:vertAlign w:val="superscript"/>
                    </w:rPr>
                    <w:t>2</w:t>
                  </w:r>
                  <w:r>
                    <w:rPr>
                      <w:rFonts w:hint="default" w:ascii="Times New Roman" w:hAnsi="Times New Roman" w:cs="Times New Roman"/>
                    </w:rPr>
                    <w:t>，位于厂房西侧，存放项目所需的化学品。</w:t>
                  </w:r>
                </w:p>
              </w:tc>
              <w:tc>
                <w:tcPr>
                  <w:tcW w:w="5324" w:type="dxa"/>
                  <w:shd w:val="clear" w:color="auto" w:fill="auto"/>
                  <w:vAlign w:val="center"/>
                </w:tcPr>
                <w:p w14:paraId="4BB44B7A">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lang w:eastAsia="zh-CN"/>
                    </w:rPr>
                    <w:t>依托现有化学品仓库，</w:t>
                  </w:r>
                  <w:r>
                    <w:rPr>
                      <w:rFonts w:hint="default" w:ascii="Times New Roman" w:hAnsi="Times New Roman" w:cs="Times New Roman"/>
                    </w:rPr>
                    <w:t>化学品仓库面积约100m</w:t>
                  </w:r>
                  <w:r>
                    <w:rPr>
                      <w:rFonts w:hint="default" w:ascii="Times New Roman" w:hAnsi="Times New Roman" w:cs="Times New Roman"/>
                      <w:vertAlign w:val="superscript"/>
                    </w:rPr>
                    <w:t>2</w:t>
                  </w:r>
                  <w:r>
                    <w:rPr>
                      <w:rFonts w:hint="default" w:ascii="Times New Roman" w:hAnsi="Times New Roman" w:cs="Times New Roman"/>
                    </w:rPr>
                    <w:t>，位于厂房西侧，存放项目所需的化学品。</w:t>
                  </w:r>
                </w:p>
              </w:tc>
              <w:tc>
                <w:tcPr>
                  <w:tcW w:w="2038" w:type="dxa"/>
                  <w:vAlign w:val="center"/>
                </w:tcPr>
                <w:p w14:paraId="7EAC06F2">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cs="Times New Roman"/>
                      <w:lang w:eastAsia="zh-CN"/>
                    </w:rPr>
                  </w:pPr>
                  <w:r>
                    <w:rPr>
                      <w:rFonts w:hint="eastAsia" w:ascii="Times New Roman" w:hAnsi="Times New Roman" w:eastAsia="宋体" w:cs="Times New Roman"/>
                      <w:lang w:val="en-US" w:eastAsia="zh-CN"/>
                    </w:rPr>
                    <w:t>与环评一致</w:t>
                  </w:r>
                </w:p>
              </w:tc>
            </w:tr>
            <w:tr w14:paraId="3CF44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783" w:type="dxa"/>
                  <w:vMerge w:val="continue"/>
                </w:tcPr>
                <w:p w14:paraId="2416BD77">
                  <w:pPr>
                    <w:pStyle w:val="24"/>
                    <w:bidi w:val="0"/>
                    <w:rPr>
                      <w:rFonts w:hint="default" w:ascii="Times New Roman" w:hAnsi="Times New Roman" w:cs="Times New Roman"/>
                    </w:rPr>
                  </w:pPr>
                </w:p>
              </w:tc>
              <w:tc>
                <w:tcPr>
                  <w:tcW w:w="876" w:type="dxa"/>
                  <w:vMerge w:val="continue"/>
                </w:tcPr>
                <w:p w14:paraId="7B2E0143">
                  <w:pPr>
                    <w:pStyle w:val="24"/>
                    <w:bidi w:val="0"/>
                    <w:rPr>
                      <w:rFonts w:hint="default" w:ascii="Times New Roman" w:hAnsi="Times New Roman" w:cs="Times New Roman"/>
                    </w:rPr>
                  </w:pPr>
                </w:p>
              </w:tc>
              <w:tc>
                <w:tcPr>
                  <w:tcW w:w="4919" w:type="dxa"/>
                  <w:vAlign w:val="center"/>
                </w:tcPr>
                <w:p w14:paraId="51CE1488">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lang w:eastAsia="zh-CN"/>
                    </w:rPr>
                    <w:t>依托现有配件仓库，</w:t>
                  </w:r>
                  <w:r>
                    <w:rPr>
                      <w:rFonts w:hint="default" w:ascii="Times New Roman" w:hAnsi="Times New Roman" w:cs="Times New Roman"/>
                    </w:rPr>
                    <w:t>配件仓库建筑面积约161m</w:t>
                  </w:r>
                  <w:r>
                    <w:rPr>
                      <w:rFonts w:hint="default" w:ascii="Times New Roman" w:hAnsi="Times New Roman" w:cs="Times New Roman"/>
                      <w:vertAlign w:val="superscript"/>
                    </w:rPr>
                    <w:t>2</w:t>
                  </w:r>
                  <w:r>
                    <w:rPr>
                      <w:rFonts w:hint="default" w:ascii="Times New Roman" w:hAnsi="Times New Roman" w:cs="Times New Roman"/>
                    </w:rPr>
                    <w:t>，位于厂房东侧，存放生产所需的其他配件等。</w:t>
                  </w:r>
                </w:p>
              </w:tc>
              <w:tc>
                <w:tcPr>
                  <w:tcW w:w="5324" w:type="dxa"/>
                  <w:shd w:val="clear" w:color="auto" w:fill="auto"/>
                  <w:vAlign w:val="center"/>
                </w:tcPr>
                <w:p w14:paraId="5430BFB0">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lang w:eastAsia="zh-CN"/>
                    </w:rPr>
                    <w:t>依托现有配件仓库，</w:t>
                  </w:r>
                  <w:r>
                    <w:rPr>
                      <w:rFonts w:hint="default" w:ascii="Times New Roman" w:hAnsi="Times New Roman" w:cs="Times New Roman"/>
                    </w:rPr>
                    <w:t>配件仓库建筑面积约161m</w:t>
                  </w:r>
                  <w:r>
                    <w:rPr>
                      <w:rFonts w:hint="default" w:ascii="Times New Roman" w:hAnsi="Times New Roman" w:cs="Times New Roman"/>
                      <w:vertAlign w:val="superscript"/>
                    </w:rPr>
                    <w:t>2</w:t>
                  </w:r>
                  <w:r>
                    <w:rPr>
                      <w:rFonts w:hint="default" w:ascii="Times New Roman" w:hAnsi="Times New Roman" w:cs="Times New Roman"/>
                    </w:rPr>
                    <w:t>，位于厂房东侧，存放生产所需的其他配件等。</w:t>
                  </w:r>
                </w:p>
              </w:tc>
              <w:tc>
                <w:tcPr>
                  <w:tcW w:w="2038" w:type="dxa"/>
                  <w:vAlign w:val="center"/>
                </w:tcPr>
                <w:p w14:paraId="1B8AF2C2">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cs="Times New Roman"/>
                      <w:lang w:eastAsia="zh-CN"/>
                    </w:rPr>
                  </w:pPr>
                  <w:r>
                    <w:rPr>
                      <w:rFonts w:hint="eastAsia" w:ascii="Times New Roman" w:hAnsi="Times New Roman" w:eastAsia="宋体" w:cs="Times New Roman"/>
                      <w:lang w:val="en-US" w:eastAsia="zh-CN"/>
                    </w:rPr>
                    <w:t>与环评一致</w:t>
                  </w:r>
                </w:p>
              </w:tc>
            </w:tr>
            <w:tr w14:paraId="5EF01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jc w:val="center"/>
              </w:trPr>
              <w:tc>
                <w:tcPr>
                  <w:tcW w:w="783" w:type="dxa"/>
                  <w:vMerge w:val="continue"/>
                </w:tcPr>
                <w:p w14:paraId="7DF30FAE">
                  <w:pPr>
                    <w:pStyle w:val="24"/>
                    <w:bidi w:val="0"/>
                    <w:rPr>
                      <w:rFonts w:hint="default" w:ascii="Times New Roman" w:hAnsi="Times New Roman" w:cs="Times New Roman"/>
                    </w:rPr>
                  </w:pPr>
                </w:p>
              </w:tc>
              <w:tc>
                <w:tcPr>
                  <w:tcW w:w="876" w:type="dxa"/>
                  <w:vAlign w:val="center"/>
                </w:tcPr>
                <w:p w14:paraId="5F781375">
                  <w:pPr>
                    <w:pStyle w:val="24"/>
                    <w:bidi w:val="0"/>
                    <w:rPr>
                      <w:rFonts w:hint="default" w:ascii="Times New Roman" w:hAnsi="Times New Roman" w:cs="Times New Roman"/>
                    </w:rPr>
                  </w:pPr>
                  <w:r>
                    <w:rPr>
                      <w:rFonts w:hint="default" w:ascii="Times New Roman" w:hAnsi="Times New Roman" w:cs="Times New Roman"/>
                    </w:rPr>
                    <w:t>成品</w:t>
                  </w:r>
                </w:p>
                <w:p w14:paraId="5F394499">
                  <w:pPr>
                    <w:pStyle w:val="24"/>
                    <w:bidi w:val="0"/>
                    <w:ind w:firstLine="0" w:firstLineChars="0"/>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rPr>
                    <w:t>仓库</w:t>
                  </w:r>
                </w:p>
              </w:tc>
              <w:tc>
                <w:tcPr>
                  <w:tcW w:w="4919" w:type="dxa"/>
                  <w:vAlign w:val="center"/>
                </w:tcPr>
                <w:p w14:paraId="388F0F88">
                  <w:pPr>
                    <w:pStyle w:val="24"/>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lang w:eastAsia="zh-CN"/>
                    </w:rPr>
                    <w:t>依托现有成品仓库，</w:t>
                  </w:r>
                  <w:r>
                    <w:rPr>
                      <w:rFonts w:hint="default" w:ascii="Times New Roman" w:hAnsi="Times New Roman" w:cs="Times New Roman"/>
                    </w:rPr>
                    <w:t>建筑面积约711m</w:t>
                  </w:r>
                  <w:r>
                    <w:rPr>
                      <w:rFonts w:hint="default" w:ascii="Times New Roman" w:hAnsi="Times New Roman" w:cs="Times New Roman"/>
                      <w:vertAlign w:val="superscript"/>
                    </w:rPr>
                    <w:t>2</w:t>
                  </w:r>
                  <w:r>
                    <w:rPr>
                      <w:rFonts w:hint="default" w:ascii="Times New Roman" w:hAnsi="Times New Roman" w:cs="Times New Roman"/>
                    </w:rPr>
                    <w:t>，位于厂房北侧，</w:t>
                  </w:r>
                  <w:r>
                    <w:rPr>
                      <w:rFonts w:hint="default" w:ascii="Times New Roman" w:hAnsi="Times New Roman" w:cs="Times New Roman"/>
                      <w:lang w:eastAsia="zh-CN"/>
                    </w:rPr>
                    <w:t>用于</w:t>
                  </w:r>
                  <w:r>
                    <w:rPr>
                      <w:rFonts w:hint="default" w:ascii="Times New Roman" w:hAnsi="Times New Roman" w:cs="Times New Roman"/>
                    </w:rPr>
                    <w:t>存放</w:t>
                  </w:r>
                  <w:r>
                    <w:rPr>
                      <w:rFonts w:hint="default" w:ascii="Times New Roman" w:hAnsi="Times New Roman" w:cs="Times New Roman"/>
                      <w:lang w:eastAsia="zh-CN"/>
                    </w:rPr>
                    <w:t>本项目</w:t>
                  </w:r>
                  <w:r>
                    <w:rPr>
                      <w:rFonts w:hint="default" w:ascii="Times New Roman" w:hAnsi="Times New Roman" w:cs="Times New Roman"/>
                    </w:rPr>
                    <w:t>成品。</w:t>
                  </w:r>
                </w:p>
              </w:tc>
              <w:tc>
                <w:tcPr>
                  <w:tcW w:w="5324" w:type="dxa"/>
                  <w:shd w:val="clear" w:color="auto" w:fill="auto"/>
                  <w:vAlign w:val="center"/>
                </w:tcPr>
                <w:p w14:paraId="30D25A83">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lang w:eastAsia="zh-CN"/>
                    </w:rPr>
                    <w:t>依托现有成品仓库，</w:t>
                  </w:r>
                  <w:r>
                    <w:rPr>
                      <w:rFonts w:hint="default" w:ascii="Times New Roman" w:hAnsi="Times New Roman" w:cs="Times New Roman"/>
                    </w:rPr>
                    <w:t>建筑面积约711m</w:t>
                  </w:r>
                  <w:r>
                    <w:rPr>
                      <w:rFonts w:hint="default" w:ascii="Times New Roman" w:hAnsi="Times New Roman" w:cs="Times New Roman"/>
                      <w:vertAlign w:val="superscript"/>
                    </w:rPr>
                    <w:t>2</w:t>
                  </w:r>
                  <w:r>
                    <w:rPr>
                      <w:rFonts w:hint="default" w:ascii="Times New Roman" w:hAnsi="Times New Roman" w:cs="Times New Roman"/>
                    </w:rPr>
                    <w:t>，位于厂房北侧，</w:t>
                  </w:r>
                  <w:r>
                    <w:rPr>
                      <w:rFonts w:hint="default" w:ascii="Times New Roman" w:hAnsi="Times New Roman" w:cs="Times New Roman"/>
                      <w:lang w:eastAsia="zh-CN"/>
                    </w:rPr>
                    <w:t>用于</w:t>
                  </w:r>
                  <w:r>
                    <w:rPr>
                      <w:rFonts w:hint="default" w:ascii="Times New Roman" w:hAnsi="Times New Roman" w:cs="Times New Roman"/>
                    </w:rPr>
                    <w:t>存放</w:t>
                  </w:r>
                  <w:r>
                    <w:rPr>
                      <w:rFonts w:hint="default" w:ascii="Times New Roman" w:hAnsi="Times New Roman" w:cs="Times New Roman"/>
                      <w:lang w:eastAsia="zh-CN"/>
                    </w:rPr>
                    <w:t>本项目</w:t>
                  </w:r>
                  <w:r>
                    <w:rPr>
                      <w:rFonts w:hint="default" w:ascii="Times New Roman" w:hAnsi="Times New Roman" w:cs="Times New Roman"/>
                    </w:rPr>
                    <w:t>成品。</w:t>
                  </w:r>
                </w:p>
              </w:tc>
              <w:tc>
                <w:tcPr>
                  <w:tcW w:w="2038" w:type="dxa"/>
                  <w:vAlign w:val="center"/>
                </w:tcPr>
                <w:p w14:paraId="38398DE1">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ascii="Times New Roman" w:hAnsi="Times New Roman" w:cs="Times New Roman"/>
                      <w:lang w:eastAsia="zh-CN"/>
                    </w:rPr>
                  </w:pPr>
                  <w:r>
                    <w:rPr>
                      <w:rFonts w:hint="eastAsia" w:ascii="Times New Roman" w:hAnsi="Times New Roman" w:eastAsia="宋体" w:cs="Times New Roman"/>
                      <w:lang w:val="en-US" w:eastAsia="zh-CN"/>
                    </w:rPr>
                    <w:t>与环评一致</w:t>
                  </w:r>
                </w:p>
              </w:tc>
            </w:tr>
          </w:tbl>
          <w:p w14:paraId="2C9A70B5">
            <w:pPr>
              <w:keepNext w:val="0"/>
              <w:keepLines w:val="0"/>
              <w:pageBreakBefore w:val="0"/>
              <w:widowControl/>
              <w:suppressLineNumbers w:val="0"/>
              <w:kinsoku/>
              <w:wordWrap/>
              <w:overflowPunct/>
              <w:topLinePunct w:val="0"/>
              <w:autoSpaceDE/>
              <w:autoSpaceDN/>
              <w:bidi w:val="0"/>
              <w:adjustRightInd w:val="0"/>
              <w:snapToGrid w:val="0"/>
              <w:spacing w:before="181" w:beforeLines="50" w:beforeAutospacing="0" w:after="181" w:afterLines="50" w:afterAutospacing="0" w:line="360" w:lineRule="auto"/>
              <w:ind w:left="0" w:right="0"/>
              <w:jc w:val="center"/>
              <w:textAlignment w:val="auto"/>
              <w:rPr>
                <w:rFonts w:hint="eastAsia" w:ascii="Times New Roman" w:hAnsi="Times New Roman" w:eastAsia="宋体" w:cs="Times New Roman"/>
                <w:b/>
                <w:color w:val="000000" w:themeColor="text1"/>
                <w:kern w:val="0"/>
                <w:sz w:val="24"/>
                <w:szCs w:val="32"/>
                <w14:textFill>
                  <w14:solidFill>
                    <w14:schemeClr w14:val="tx1"/>
                  </w14:solidFill>
                </w14:textFill>
              </w:rPr>
            </w:pPr>
          </w:p>
        </w:tc>
      </w:tr>
    </w:tbl>
    <w:p w14:paraId="70A4A35A">
      <w:pPr>
        <w:widowControl/>
        <w:adjustRightInd w:val="0"/>
        <w:snapToGrid w:val="0"/>
        <w:spacing w:line="360" w:lineRule="auto"/>
        <w:jc w:val="left"/>
        <w:rPr>
          <w:rFonts w:ascii="Tahoma" w:hAnsi="Tahoma" w:eastAsia="仿宋_GB2312" w:cs="Times New Roman"/>
          <w:color w:val="000000"/>
          <w:kern w:val="0"/>
          <w:sz w:val="24"/>
          <w:szCs w:val="24"/>
        </w:rPr>
        <w:sectPr>
          <w:pgSz w:w="16838" w:h="11906" w:orient="landscape"/>
          <w:pgMar w:top="1797" w:right="1440" w:bottom="1797" w:left="1440" w:header="708" w:footer="708" w:gutter="0"/>
          <w:pgBorders>
            <w:top w:val="none" w:sz="0" w:space="0"/>
            <w:left w:val="none" w:sz="0" w:space="0"/>
            <w:bottom w:val="none" w:sz="0" w:space="0"/>
            <w:right w:val="none" w:sz="0" w:space="0"/>
          </w:pgBorders>
          <w:cols w:space="720" w:num="1"/>
          <w:docGrid w:linePitch="360" w:charSpace="0"/>
        </w:sect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8"/>
      </w:tblGrid>
      <w:tr w14:paraId="55776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60" w:hRule="atLeast"/>
        </w:trPr>
        <w:tc>
          <w:tcPr>
            <w:tcW w:w="8528" w:type="dxa"/>
          </w:tcPr>
          <w:p w14:paraId="37D72392">
            <w:pPr>
              <w:pStyle w:val="4"/>
              <w:suppressLineNumbers w:val="0"/>
              <w:bidi w:val="0"/>
              <w:spacing w:before="0" w:beforeAutospacing="0" w:after="0" w:afterAutospacing="0"/>
              <w:ind w:left="0" w:right="0"/>
              <w:rPr>
                <w:rFonts w:hint="default"/>
              </w:rPr>
            </w:pPr>
            <w:r>
              <w:rPr>
                <w:rFonts w:hint="default"/>
              </w:rPr>
              <w:t>2.1.3</w:t>
            </w:r>
            <w:r>
              <w:rPr>
                <w:rFonts w:hint="eastAsia"/>
              </w:rPr>
              <w:t>原辅材料消耗及水平衡：</w:t>
            </w:r>
          </w:p>
          <w:p w14:paraId="6D1FFBD8">
            <w:pPr>
              <w:keepNext w:val="0"/>
              <w:keepLines w:val="0"/>
              <w:widowControl/>
              <w:suppressLineNumbers w:val="0"/>
              <w:spacing w:before="0" w:beforeAutospacing="0" w:after="0" w:afterAutospacing="0" w:line="360" w:lineRule="auto"/>
              <w:ind w:left="0" w:right="0" w:firstLine="480" w:firstLineChars="200"/>
              <w:jc w:val="left"/>
              <w:rPr>
                <w:rFonts w:hint="default"/>
              </w:rPr>
            </w:pPr>
            <w:r>
              <w:rPr>
                <w:rFonts w:hint="eastAsia"/>
                <w:lang w:val="en-US" w:eastAsia="zh-CN"/>
              </w:rPr>
              <w:t>根据现场调查，本项目原辅材料消耗见下表。</w:t>
            </w:r>
          </w:p>
          <w:p w14:paraId="77152C64">
            <w:pPr>
              <w:keepNext w:val="0"/>
              <w:keepLines w:val="0"/>
              <w:suppressLineNumbers w:val="0"/>
              <w:spacing w:before="0" w:beforeAutospacing="0" w:after="0" w:afterAutospacing="0" w:line="360" w:lineRule="auto"/>
              <w:ind w:left="0" w:right="0"/>
              <w:jc w:val="center"/>
              <w:rPr>
                <w:rFonts w:hint="eastAsia"/>
                <w:b/>
                <w:bCs/>
              </w:rPr>
            </w:pPr>
            <w:r>
              <w:rPr>
                <w:rFonts w:hint="default"/>
                <w:b/>
                <w:bCs/>
              </w:rPr>
              <w:t>表2</w:t>
            </w:r>
            <w:r>
              <w:rPr>
                <w:rFonts w:hint="eastAsia"/>
                <w:b/>
                <w:bCs/>
                <w:lang w:val="en-US" w:eastAsia="zh-CN"/>
              </w:rPr>
              <w:t>.1</w:t>
            </w:r>
            <w:r>
              <w:rPr>
                <w:rFonts w:hint="default"/>
                <w:b/>
                <w:bCs/>
              </w:rPr>
              <w:t>-</w:t>
            </w:r>
            <w:r>
              <w:rPr>
                <w:rFonts w:hint="eastAsia"/>
                <w:b/>
                <w:bCs/>
                <w:lang w:val="en-US" w:eastAsia="zh-CN"/>
              </w:rPr>
              <w:t>2</w:t>
            </w:r>
            <w:r>
              <w:rPr>
                <w:rFonts w:hint="default"/>
                <w:b/>
                <w:bCs/>
              </w:rPr>
              <w:t xml:space="preserve">  项目</w:t>
            </w:r>
            <w:r>
              <w:rPr>
                <w:rFonts w:hint="eastAsia"/>
                <w:b/>
                <w:bCs/>
                <w:lang w:val="en-US" w:eastAsia="zh-CN"/>
              </w:rPr>
              <w:t>主要原辅材料及能源</w:t>
            </w:r>
            <w:r>
              <w:rPr>
                <w:rFonts w:hint="eastAsia"/>
                <w:b/>
                <w:bCs/>
              </w:rPr>
              <w:t>消耗情况</w:t>
            </w:r>
          </w:p>
          <w:tbl>
            <w:tblPr>
              <w:tblStyle w:val="1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Layout w:type="fixed"/>
              <w:tblCellMar>
                <w:top w:w="0" w:type="dxa"/>
                <w:left w:w="0" w:type="dxa"/>
                <w:bottom w:w="0" w:type="dxa"/>
                <w:right w:w="0" w:type="dxa"/>
              </w:tblCellMar>
            </w:tblPr>
            <w:tblGrid>
              <w:gridCol w:w="654"/>
              <w:gridCol w:w="1564"/>
              <w:gridCol w:w="836"/>
              <w:gridCol w:w="1653"/>
              <w:gridCol w:w="1410"/>
              <w:gridCol w:w="705"/>
              <w:gridCol w:w="789"/>
              <w:gridCol w:w="689"/>
            </w:tblGrid>
            <w:tr w14:paraId="21A5C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PrEx>
              <w:trPr>
                <w:trHeight w:val="1002" w:hRule="atLeast"/>
                <w:tblHeader/>
                <w:jc w:val="center"/>
              </w:trPr>
              <w:tc>
                <w:tcPr>
                  <w:tcW w:w="654" w:type="dxa"/>
                  <w:shd w:val="clear" w:color="000000" w:fill="auto"/>
                  <w:vAlign w:val="center"/>
                </w:tcPr>
                <w:p w14:paraId="557D43DA">
                  <w:pPr>
                    <w:pStyle w:val="24"/>
                    <w:bidi w:val="0"/>
                    <w:rPr>
                      <w:rFonts w:hint="default" w:ascii="Times New Roman" w:hAnsi="Times New Roman" w:cs="Times New Roman"/>
                    </w:rPr>
                  </w:pPr>
                  <w:r>
                    <w:rPr>
                      <w:rFonts w:hint="default" w:ascii="Times New Roman" w:hAnsi="Times New Roman" w:cs="Times New Roman"/>
                    </w:rPr>
                    <w:t>序号</w:t>
                  </w:r>
                </w:p>
              </w:tc>
              <w:tc>
                <w:tcPr>
                  <w:tcW w:w="1564" w:type="dxa"/>
                  <w:shd w:val="clear" w:color="000000" w:fill="auto"/>
                  <w:vAlign w:val="center"/>
                </w:tcPr>
                <w:p w14:paraId="71FE9326">
                  <w:pPr>
                    <w:pStyle w:val="24"/>
                    <w:bidi w:val="0"/>
                    <w:rPr>
                      <w:rFonts w:hint="default" w:ascii="Times New Roman" w:hAnsi="Times New Roman" w:cs="Times New Roman"/>
                    </w:rPr>
                  </w:pPr>
                  <w:r>
                    <w:rPr>
                      <w:rFonts w:hint="default" w:ascii="Times New Roman" w:hAnsi="Times New Roman" w:cs="Times New Roman"/>
                    </w:rPr>
                    <w:t>名称</w:t>
                  </w:r>
                </w:p>
              </w:tc>
              <w:tc>
                <w:tcPr>
                  <w:tcW w:w="836" w:type="dxa"/>
                  <w:tcBorders>
                    <w:right w:val="single" w:color="000000" w:sz="4" w:space="0"/>
                  </w:tcBorders>
                  <w:shd w:val="clear" w:color="000000" w:fill="auto"/>
                  <w:vAlign w:val="center"/>
                </w:tcPr>
                <w:p w14:paraId="137BC54C">
                  <w:pPr>
                    <w:pStyle w:val="24"/>
                    <w:bidi w:val="0"/>
                    <w:rPr>
                      <w:rFonts w:hint="default" w:ascii="Times New Roman" w:hAnsi="Times New Roman" w:cs="Times New Roman"/>
                    </w:rPr>
                  </w:pPr>
                  <w:r>
                    <w:rPr>
                      <w:rFonts w:hint="default" w:ascii="Times New Roman" w:hAnsi="Times New Roman" w:cs="Times New Roman"/>
                    </w:rPr>
                    <w:t>单位</w:t>
                  </w:r>
                </w:p>
              </w:tc>
              <w:tc>
                <w:tcPr>
                  <w:tcW w:w="1653" w:type="dxa"/>
                  <w:tcBorders>
                    <w:left w:val="single" w:color="000000" w:sz="4" w:space="0"/>
                  </w:tcBorders>
                  <w:shd w:val="clear" w:color="000000" w:fill="auto"/>
                  <w:vAlign w:val="center"/>
                </w:tcPr>
                <w:p w14:paraId="785A13C4">
                  <w:pPr>
                    <w:pStyle w:val="24"/>
                    <w:bidi w:val="0"/>
                    <w:rPr>
                      <w:rFonts w:hint="default" w:ascii="Times New Roman" w:hAnsi="Times New Roman" w:cs="Times New Roman"/>
                    </w:rPr>
                  </w:pPr>
                  <w:r>
                    <w:rPr>
                      <w:rFonts w:hint="eastAsia" w:ascii="Times New Roman" w:hAnsi="Times New Roman" w:cs="Times New Roman"/>
                      <w:lang w:val="en-US" w:eastAsia="zh-CN"/>
                    </w:rPr>
                    <w:t>环评</w:t>
                  </w:r>
                  <w:r>
                    <w:rPr>
                      <w:rFonts w:hint="default" w:ascii="Times New Roman" w:hAnsi="Times New Roman" w:cs="Times New Roman"/>
                    </w:rPr>
                    <w:t>年消耗量</w:t>
                  </w:r>
                </w:p>
              </w:tc>
              <w:tc>
                <w:tcPr>
                  <w:tcW w:w="1410" w:type="dxa"/>
                  <w:tcBorders>
                    <w:left w:val="single" w:color="000000" w:sz="4" w:space="0"/>
                  </w:tcBorders>
                  <w:shd w:val="clear" w:color="000000" w:fill="auto"/>
                  <w:vAlign w:val="center"/>
                </w:tcPr>
                <w:p w14:paraId="3A7EA5B8">
                  <w:pPr>
                    <w:pStyle w:val="24"/>
                    <w:bidi w:val="0"/>
                    <w:rPr>
                      <w:rFonts w:hint="eastAsia" w:ascii="Times New Roman" w:hAnsi="Times New Roman" w:eastAsia="宋体" w:cs="Times New Roman"/>
                      <w:lang w:val="en-US" w:eastAsia="zh-CN"/>
                    </w:rPr>
                  </w:pPr>
                  <w:r>
                    <w:rPr>
                      <w:rFonts w:hint="eastAsia" w:ascii="Times New Roman" w:hAnsi="Times New Roman" w:cs="Times New Roman"/>
                      <w:lang w:val="en-US" w:eastAsia="zh-CN"/>
                    </w:rPr>
                    <w:t>验收</w:t>
                  </w:r>
                  <w:r>
                    <w:rPr>
                      <w:rFonts w:hint="default" w:ascii="Times New Roman" w:hAnsi="Times New Roman" w:cs="Times New Roman"/>
                    </w:rPr>
                    <w:t>年消耗量</w:t>
                  </w:r>
                </w:p>
              </w:tc>
              <w:tc>
                <w:tcPr>
                  <w:tcW w:w="705" w:type="dxa"/>
                  <w:tcBorders>
                    <w:left w:val="single" w:color="000000" w:sz="4" w:space="0"/>
                  </w:tcBorders>
                  <w:shd w:val="clear" w:color="000000" w:fill="auto"/>
                  <w:vAlign w:val="center"/>
                </w:tcPr>
                <w:p w14:paraId="50C879EC">
                  <w:pPr>
                    <w:pStyle w:val="24"/>
                    <w:bidi w:val="0"/>
                    <w:rPr>
                      <w:rFonts w:hint="default" w:ascii="Times New Roman" w:hAnsi="Times New Roman" w:cs="Times New Roman"/>
                    </w:rPr>
                  </w:pPr>
                  <w:r>
                    <w:rPr>
                      <w:rFonts w:hint="default" w:ascii="Times New Roman" w:hAnsi="Times New Roman" w:cs="Times New Roman"/>
                    </w:rPr>
                    <w:t>厂区最大储存量</w:t>
                  </w:r>
                </w:p>
              </w:tc>
              <w:tc>
                <w:tcPr>
                  <w:tcW w:w="789" w:type="dxa"/>
                  <w:shd w:val="clear" w:color="000000" w:fill="auto"/>
                  <w:vAlign w:val="center"/>
                </w:tcPr>
                <w:p w14:paraId="473233A4">
                  <w:pPr>
                    <w:pStyle w:val="24"/>
                    <w:bidi w:val="0"/>
                    <w:rPr>
                      <w:rFonts w:hint="default" w:ascii="Times New Roman" w:hAnsi="Times New Roman" w:cs="Times New Roman"/>
                    </w:rPr>
                  </w:pPr>
                  <w:r>
                    <w:rPr>
                      <w:rFonts w:hint="default" w:ascii="Times New Roman" w:hAnsi="Times New Roman" w:cs="Times New Roman"/>
                    </w:rPr>
                    <w:t>储存位置</w:t>
                  </w:r>
                </w:p>
              </w:tc>
              <w:tc>
                <w:tcPr>
                  <w:tcW w:w="689" w:type="dxa"/>
                  <w:shd w:val="clear" w:color="000000" w:fill="auto"/>
                  <w:vAlign w:val="center"/>
                </w:tcPr>
                <w:p w14:paraId="51DC9385">
                  <w:pPr>
                    <w:pStyle w:val="24"/>
                    <w:bidi w:val="0"/>
                    <w:rPr>
                      <w:rFonts w:hint="default" w:ascii="Times New Roman" w:hAnsi="Times New Roman" w:cs="Times New Roman"/>
                    </w:rPr>
                  </w:pPr>
                  <w:r>
                    <w:rPr>
                      <w:rFonts w:hint="default" w:ascii="Times New Roman" w:hAnsi="Times New Roman" w:cs="Times New Roman"/>
                    </w:rPr>
                    <w:t>运输方式</w:t>
                  </w:r>
                </w:p>
              </w:tc>
            </w:tr>
            <w:tr w14:paraId="0C6AC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405" w:hRule="atLeast"/>
                <w:jc w:val="center"/>
              </w:trPr>
              <w:tc>
                <w:tcPr>
                  <w:tcW w:w="654" w:type="dxa"/>
                  <w:shd w:val="clear" w:color="000000" w:fill="auto"/>
                  <w:vAlign w:val="center"/>
                </w:tcPr>
                <w:p w14:paraId="647A6D0B">
                  <w:pPr>
                    <w:pStyle w:val="24"/>
                    <w:bidi w:val="0"/>
                    <w:rPr>
                      <w:rFonts w:hint="default" w:ascii="Times New Roman" w:hAnsi="Times New Roman" w:cs="Times New Roman"/>
                    </w:rPr>
                  </w:pPr>
                  <w:r>
                    <w:rPr>
                      <w:rFonts w:hint="default" w:ascii="Times New Roman" w:hAnsi="Times New Roman" w:cs="Times New Roman"/>
                    </w:rPr>
                    <w:t>1</w:t>
                  </w:r>
                </w:p>
              </w:tc>
              <w:tc>
                <w:tcPr>
                  <w:tcW w:w="1564" w:type="dxa"/>
                  <w:shd w:val="clear" w:color="000000" w:fill="auto"/>
                  <w:vAlign w:val="center"/>
                </w:tcPr>
                <w:p w14:paraId="20C4F18D">
                  <w:pPr>
                    <w:pStyle w:val="24"/>
                    <w:bidi w:val="0"/>
                    <w:rPr>
                      <w:rFonts w:hint="default" w:ascii="Times New Roman" w:hAnsi="Times New Roman" w:cs="Times New Roman"/>
                    </w:rPr>
                  </w:pPr>
                  <w:r>
                    <w:rPr>
                      <w:rFonts w:hint="default" w:ascii="Times New Roman" w:hAnsi="Times New Roman" w:cs="Times New Roman"/>
                    </w:rPr>
                    <w:t>铸铁毛坯</w:t>
                  </w:r>
                </w:p>
              </w:tc>
              <w:tc>
                <w:tcPr>
                  <w:tcW w:w="836" w:type="dxa"/>
                  <w:shd w:val="clear" w:color="000000" w:fill="auto"/>
                  <w:vAlign w:val="center"/>
                </w:tcPr>
                <w:p w14:paraId="715A9F41">
                  <w:pPr>
                    <w:pStyle w:val="24"/>
                    <w:bidi w:val="0"/>
                    <w:rPr>
                      <w:rFonts w:hint="default" w:ascii="Times New Roman" w:hAnsi="Times New Roman" w:cs="Times New Roman"/>
                    </w:rPr>
                  </w:pPr>
                  <w:r>
                    <w:rPr>
                      <w:rFonts w:hint="default" w:ascii="Times New Roman" w:hAnsi="Times New Roman" w:cs="Times New Roman"/>
                    </w:rPr>
                    <w:t>t/a</w:t>
                  </w:r>
                </w:p>
              </w:tc>
              <w:tc>
                <w:tcPr>
                  <w:tcW w:w="1653" w:type="dxa"/>
                  <w:shd w:val="clear" w:color="000000" w:fill="auto"/>
                  <w:vAlign w:val="center"/>
                </w:tcPr>
                <w:p w14:paraId="768D9925">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560</w:t>
                  </w:r>
                </w:p>
              </w:tc>
              <w:tc>
                <w:tcPr>
                  <w:tcW w:w="1410" w:type="dxa"/>
                  <w:shd w:val="clear" w:color="000000" w:fill="auto"/>
                  <w:vAlign w:val="center"/>
                </w:tcPr>
                <w:p w14:paraId="1988547C">
                  <w:pPr>
                    <w:pStyle w:val="24"/>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560</w:t>
                  </w:r>
                </w:p>
              </w:tc>
              <w:tc>
                <w:tcPr>
                  <w:tcW w:w="705" w:type="dxa"/>
                  <w:tcBorders>
                    <w:left w:val="single" w:color="000000" w:sz="4" w:space="0"/>
                  </w:tcBorders>
                  <w:shd w:val="clear" w:color="000000" w:fill="auto"/>
                  <w:vAlign w:val="center"/>
                </w:tcPr>
                <w:p w14:paraId="68E042B4">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13t</w:t>
                  </w:r>
                </w:p>
              </w:tc>
              <w:tc>
                <w:tcPr>
                  <w:tcW w:w="789" w:type="dxa"/>
                  <w:shd w:val="clear" w:color="000000" w:fill="auto"/>
                  <w:vAlign w:val="center"/>
                </w:tcPr>
                <w:p w14:paraId="0D8D9363">
                  <w:pPr>
                    <w:pStyle w:val="24"/>
                    <w:bidi w:val="0"/>
                    <w:rPr>
                      <w:rFonts w:hint="default" w:ascii="Times New Roman" w:hAnsi="Times New Roman" w:cs="Times New Roman"/>
                      <w:lang w:eastAsia="zh-CN"/>
                    </w:rPr>
                  </w:pPr>
                  <w:r>
                    <w:rPr>
                      <w:rFonts w:hint="default" w:ascii="Times New Roman" w:hAnsi="Times New Roman" w:cs="Times New Roman"/>
                      <w:lang w:eastAsia="zh-CN"/>
                    </w:rPr>
                    <w:t>原料</w:t>
                  </w:r>
                </w:p>
                <w:p w14:paraId="095A4FB7">
                  <w:pPr>
                    <w:pStyle w:val="24"/>
                    <w:bidi w:val="0"/>
                    <w:rPr>
                      <w:rFonts w:hint="default" w:ascii="Times New Roman" w:hAnsi="Times New Roman" w:eastAsia="宋体" w:cs="Times New Roman"/>
                      <w:lang w:eastAsia="zh-CN"/>
                    </w:rPr>
                  </w:pPr>
                  <w:r>
                    <w:rPr>
                      <w:rFonts w:hint="default" w:ascii="Times New Roman" w:hAnsi="Times New Roman" w:cs="Times New Roman"/>
                      <w:lang w:eastAsia="zh-CN"/>
                    </w:rPr>
                    <w:t>仓库</w:t>
                  </w:r>
                </w:p>
              </w:tc>
              <w:tc>
                <w:tcPr>
                  <w:tcW w:w="689" w:type="dxa"/>
                  <w:shd w:val="clear" w:color="000000" w:fill="auto"/>
                  <w:vAlign w:val="center"/>
                </w:tcPr>
                <w:p w14:paraId="62F90A2D">
                  <w:pPr>
                    <w:pStyle w:val="24"/>
                    <w:bidi w:val="0"/>
                    <w:rPr>
                      <w:rFonts w:hint="default" w:ascii="Times New Roman" w:hAnsi="Times New Roman" w:cs="Times New Roman"/>
                    </w:rPr>
                  </w:pPr>
                  <w:r>
                    <w:rPr>
                      <w:rFonts w:hint="default" w:ascii="Times New Roman" w:hAnsi="Times New Roman" w:cs="Times New Roman"/>
                    </w:rPr>
                    <w:t>汽运</w:t>
                  </w:r>
                </w:p>
              </w:tc>
            </w:tr>
            <w:tr w14:paraId="3D83D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329" w:hRule="atLeast"/>
                <w:jc w:val="center"/>
              </w:trPr>
              <w:tc>
                <w:tcPr>
                  <w:tcW w:w="654" w:type="dxa"/>
                  <w:shd w:val="clear" w:color="000000" w:fill="auto"/>
                  <w:vAlign w:val="center"/>
                </w:tcPr>
                <w:p w14:paraId="487CD056">
                  <w:pPr>
                    <w:pStyle w:val="24"/>
                    <w:bidi w:val="0"/>
                    <w:rPr>
                      <w:rFonts w:hint="default" w:ascii="Times New Roman" w:hAnsi="Times New Roman" w:cs="Times New Roman"/>
                    </w:rPr>
                  </w:pPr>
                  <w:r>
                    <w:rPr>
                      <w:rFonts w:hint="default" w:ascii="Times New Roman" w:hAnsi="Times New Roman" w:cs="Times New Roman"/>
                    </w:rPr>
                    <w:t>2</w:t>
                  </w:r>
                </w:p>
              </w:tc>
              <w:tc>
                <w:tcPr>
                  <w:tcW w:w="1564" w:type="dxa"/>
                  <w:shd w:val="clear" w:color="000000" w:fill="auto"/>
                  <w:vAlign w:val="center"/>
                </w:tcPr>
                <w:p w14:paraId="034FB9B9">
                  <w:pPr>
                    <w:pStyle w:val="24"/>
                    <w:bidi w:val="0"/>
                    <w:rPr>
                      <w:rFonts w:hint="default" w:ascii="Times New Roman" w:hAnsi="Times New Roman" w:cs="Times New Roman"/>
                    </w:rPr>
                  </w:pPr>
                  <w:r>
                    <w:rPr>
                      <w:rFonts w:hint="default" w:ascii="Times New Roman" w:hAnsi="Times New Roman" w:cs="Times New Roman"/>
                    </w:rPr>
                    <w:t>32#抗磨液压油</w:t>
                  </w:r>
                </w:p>
              </w:tc>
              <w:tc>
                <w:tcPr>
                  <w:tcW w:w="836" w:type="dxa"/>
                  <w:shd w:val="clear" w:color="000000" w:fill="auto"/>
                  <w:vAlign w:val="center"/>
                </w:tcPr>
                <w:p w14:paraId="4DDEFF37">
                  <w:pPr>
                    <w:pStyle w:val="24"/>
                    <w:bidi w:val="0"/>
                    <w:rPr>
                      <w:rFonts w:hint="default" w:ascii="Times New Roman" w:hAnsi="Times New Roman" w:cs="Times New Roman"/>
                    </w:rPr>
                  </w:pPr>
                  <w:r>
                    <w:rPr>
                      <w:rFonts w:hint="default" w:ascii="Times New Roman" w:hAnsi="Times New Roman" w:cs="Times New Roman"/>
                    </w:rPr>
                    <w:t>t/a</w:t>
                  </w:r>
                </w:p>
              </w:tc>
              <w:tc>
                <w:tcPr>
                  <w:tcW w:w="1653" w:type="dxa"/>
                  <w:shd w:val="clear" w:color="000000" w:fill="auto"/>
                  <w:vAlign w:val="center"/>
                </w:tcPr>
                <w:p w14:paraId="05552D5D">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3.6</w:t>
                  </w:r>
                </w:p>
              </w:tc>
              <w:tc>
                <w:tcPr>
                  <w:tcW w:w="1410" w:type="dxa"/>
                  <w:shd w:val="clear" w:color="000000" w:fill="auto"/>
                  <w:vAlign w:val="center"/>
                </w:tcPr>
                <w:p w14:paraId="4FA009DB">
                  <w:pPr>
                    <w:pStyle w:val="24"/>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3.6</w:t>
                  </w:r>
                </w:p>
              </w:tc>
              <w:tc>
                <w:tcPr>
                  <w:tcW w:w="705" w:type="dxa"/>
                  <w:tcBorders>
                    <w:left w:val="single" w:color="000000" w:sz="4" w:space="0"/>
                  </w:tcBorders>
                  <w:shd w:val="clear" w:color="000000" w:fill="auto"/>
                  <w:vAlign w:val="center"/>
                </w:tcPr>
                <w:p w14:paraId="52F39C52">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0.5t</w:t>
                  </w:r>
                </w:p>
              </w:tc>
              <w:tc>
                <w:tcPr>
                  <w:tcW w:w="789" w:type="dxa"/>
                  <w:vMerge w:val="restart"/>
                  <w:shd w:val="clear" w:color="000000" w:fill="auto"/>
                  <w:vAlign w:val="center"/>
                </w:tcPr>
                <w:p w14:paraId="7D5E8043">
                  <w:pPr>
                    <w:pStyle w:val="24"/>
                    <w:bidi w:val="0"/>
                    <w:rPr>
                      <w:rFonts w:hint="default" w:ascii="Times New Roman" w:hAnsi="Times New Roman" w:eastAsia="宋体" w:cs="Times New Roman"/>
                      <w:lang w:eastAsia="zh-CN"/>
                    </w:rPr>
                  </w:pPr>
                  <w:r>
                    <w:rPr>
                      <w:rFonts w:hint="default" w:ascii="Times New Roman" w:hAnsi="Times New Roman" w:cs="Times New Roman"/>
                      <w:lang w:eastAsia="zh-CN"/>
                    </w:rPr>
                    <w:t>危化品仓库</w:t>
                  </w:r>
                </w:p>
              </w:tc>
              <w:tc>
                <w:tcPr>
                  <w:tcW w:w="689" w:type="dxa"/>
                  <w:shd w:val="clear" w:color="000000" w:fill="auto"/>
                  <w:vAlign w:val="center"/>
                </w:tcPr>
                <w:p w14:paraId="48D72B3A">
                  <w:pPr>
                    <w:pStyle w:val="24"/>
                    <w:bidi w:val="0"/>
                    <w:rPr>
                      <w:rFonts w:hint="default" w:ascii="Times New Roman" w:hAnsi="Times New Roman" w:cs="Times New Roman"/>
                    </w:rPr>
                  </w:pPr>
                  <w:r>
                    <w:rPr>
                      <w:rFonts w:hint="default" w:ascii="Times New Roman" w:hAnsi="Times New Roman" w:cs="Times New Roman"/>
                    </w:rPr>
                    <w:t>汽运</w:t>
                  </w:r>
                </w:p>
              </w:tc>
            </w:tr>
            <w:tr w14:paraId="7B296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286" w:hRule="atLeast"/>
                <w:jc w:val="center"/>
              </w:trPr>
              <w:tc>
                <w:tcPr>
                  <w:tcW w:w="654" w:type="dxa"/>
                  <w:shd w:val="clear" w:color="000000" w:fill="auto"/>
                  <w:vAlign w:val="center"/>
                </w:tcPr>
                <w:p w14:paraId="2874F176">
                  <w:pPr>
                    <w:pStyle w:val="24"/>
                    <w:bidi w:val="0"/>
                    <w:rPr>
                      <w:rFonts w:hint="default" w:ascii="Times New Roman" w:hAnsi="Times New Roman" w:cs="Times New Roman"/>
                    </w:rPr>
                  </w:pPr>
                  <w:r>
                    <w:rPr>
                      <w:rFonts w:hint="default" w:ascii="Times New Roman" w:hAnsi="Times New Roman" w:cs="Times New Roman"/>
                    </w:rPr>
                    <w:t>3</w:t>
                  </w:r>
                </w:p>
              </w:tc>
              <w:tc>
                <w:tcPr>
                  <w:tcW w:w="1564" w:type="dxa"/>
                  <w:shd w:val="clear" w:color="000000" w:fill="auto"/>
                  <w:vAlign w:val="center"/>
                </w:tcPr>
                <w:p w14:paraId="6925D32E">
                  <w:pPr>
                    <w:pStyle w:val="24"/>
                    <w:bidi w:val="0"/>
                    <w:rPr>
                      <w:rFonts w:hint="default" w:ascii="Times New Roman" w:hAnsi="Times New Roman" w:cs="Times New Roman"/>
                    </w:rPr>
                  </w:pPr>
                  <w:r>
                    <w:rPr>
                      <w:rFonts w:hint="default" w:ascii="Times New Roman" w:hAnsi="Times New Roman" w:cs="Times New Roman"/>
                    </w:rPr>
                    <w:t>磨削液</w:t>
                  </w:r>
                </w:p>
              </w:tc>
              <w:tc>
                <w:tcPr>
                  <w:tcW w:w="836" w:type="dxa"/>
                  <w:shd w:val="clear" w:color="000000" w:fill="auto"/>
                  <w:vAlign w:val="center"/>
                </w:tcPr>
                <w:p w14:paraId="5ED017F8">
                  <w:pPr>
                    <w:pStyle w:val="24"/>
                    <w:bidi w:val="0"/>
                    <w:rPr>
                      <w:rFonts w:hint="default" w:ascii="Times New Roman" w:hAnsi="Times New Roman" w:cs="Times New Roman"/>
                    </w:rPr>
                  </w:pPr>
                  <w:r>
                    <w:rPr>
                      <w:rFonts w:hint="default" w:ascii="Times New Roman" w:hAnsi="Times New Roman" w:cs="Times New Roman"/>
                    </w:rPr>
                    <w:t>t/a</w:t>
                  </w:r>
                </w:p>
              </w:tc>
              <w:tc>
                <w:tcPr>
                  <w:tcW w:w="1653" w:type="dxa"/>
                  <w:shd w:val="clear" w:color="000000" w:fill="auto"/>
                  <w:vAlign w:val="center"/>
                </w:tcPr>
                <w:p w14:paraId="7D64F4F3">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5.2</w:t>
                  </w:r>
                </w:p>
              </w:tc>
              <w:tc>
                <w:tcPr>
                  <w:tcW w:w="1410" w:type="dxa"/>
                  <w:shd w:val="clear" w:color="000000" w:fill="auto"/>
                  <w:vAlign w:val="center"/>
                </w:tcPr>
                <w:p w14:paraId="54C374E3">
                  <w:pPr>
                    <w:pStyle w:val="24"/>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5.2</w:t>
                  </w:r>
                </w:p>
              </w:tc>
              <w:tc>
                <w:tcPr>
                  <w:tcW w:w="705" w:type="dxa"/>
                  <w:tcBorders>
                    <w:left w:val="single" w:color="000000" w:sz="4" w:space="0"/>
                  </w:tcBorders>
                  <w:shd w:val="clear" w:color="000000" w:fill="auto"/>
                  <w:vAlign w:val="center"/>
                </w:tcPr>
                <w:p w14:paraId="06773849">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0.5t</w:t>
                  </w:r>
                </w:p>
              </w:tc>
              <w:tc>
                <w:tcPr>
                  <w:tcW w:w="789" w:type="dxa"/>
                  <w:vMerge w:val="continue"/>
                  <w:shd w:val="clear" w:color="000000" w:fill="auto"/>
                  <w:vAlign w:val="center"/>
                </w:tcPr>
                <w:p w14:paraId="3934B56B">
                  <w:pPr>
                    <w:pStyle w:val="24"/>
                    <w:bidi w:val="0"/>
                    <w:rPr>
                      <w:rFonts w:hint="default" w:ascii="Times New Roman" w:hAnsi="Times New Roman" w:cs="Times New Roman"/>
                    </w:rPr>
                  </w:pPr>
                </w:p>
              </w:tc>
              <w:tc>
                <w:tcPr>
                  <w:tcW w:w="689" w:type="dxa"/>
                  <w:shd w:val="clear" w:color="000000" w:fill="auto"/>
                  <w:vAlign w:val="center"/>
                </w:tcPr>
                <w:p w14:paraId="53E719BA">
                  <w:pPr>
                    <w:pStyle w:val="24"/>
                    <w:bidi w:val="0"/>
                    <w:rPr>
                      <w:rFonts w:hint="default" w:ascii="Times New Roman" w:hAnsi="Times New Roman" w:cs="Times New Roman"/>
                    </w:rPr>
                  </w:pPr>
                  <w:r>
                    <w:rPr>
                      <w:rFonts w:hint="default" w:ascii="Times New Roman" w:hAnsi="Times New Roman" w:cs="Times New Roman"/>
                    </w:rPr>
                    <w:t>汽运</w:t>
                  </w:r>
                </w:p>
              </w:tc>
            </w:tr>
            <w:tr w14:paraId="77937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286" w:hRule="atLeast"/>
                <w:jc w:val="center"/>
              </w:trPr>
              <w:tc>
                <w:tcPr>
                  <w:tcW w:w="654" w:type="dxa"/>
                  <w:shd w:val="clear" w:color="000000" w:fill="auto"/>
                  <w:vAlign w:val="center"/>
                </w:tcPr>
                <w:p w14:paraId="13222873">
                  <w:pPr>
                    <w:pStyle w:val="24"/>
                    <w:bidi w:val="0"/>
                    <w:rPr>
                      <w:rFonts w:hint="default" w:ascii="Times New Roman" w:hAnsi="Times New Roman" w:cs="Times New Roman"/>
                    </w:rPr>
                  </w:pPr>
                  <w:r>
                    <w:rPr>
                      <w:rFonts w:hint="default" w:ascii="Times New Roman" w:hAnsi="Times New Roman" w:cs="Times New Roman"/>
                    </w:rPr>
                    <w:t>4</w:t>
                  </w:r>
                </w:p>
              </w:tc>
              <w:tc>
                <w:tcPr>
                  <w:tcW w:w="1564" w:type="dxa"/>
                  <w:shd w:val="clear" w:color="000000" w:fill="auto"/>
                  <w:vAlign w:val="center"/>
                </w:tcPr>
                <w:p w14:paraId="60D5B683">
                  <w:pPr>
                    <w:pStyle w:val="24"/>
                    <w:bidi w:val="0"/>
                    <w:rPr>
                      <w:rFonts w:hint="default" w:ascii="Times New Roman" w:hAnsi="Times New Roman" w:cs="Times New Roman"/>
                    </w:rPr>
                  </w:pPr>
                  <w:r>
                    <w:rPr>
                      <w:rFonts w:hint="default" w:ascii="Times New Roman" w:hAnsi="Times New Roman" w:cs="Times New Roman"/>
                      <w:lang w:eastAsia="zh-CN"/>
                    </w:rPr>
                    <w:t>切削</w:t>
                  </w:r>
                  <w:r>
                    <w:rPr>
                      <w:rFonts w:hint="default" w:ascii="Times New Roman" w:hAnsi="Times New Roman" w:cs="Times New Roman"/>
                    </w:rPr>
                    <w:t>液</w:t>
                  </w:r>
                </w:p>
              </w:tc>
              <w:tc>
                <w:tcPr>
                  <w:tcW w:w="836" w:type="dxa"/>
                  <w:shd w:val="clear" w:color="000000" w:fill="auto"/>
                  <w:vAlign w:val="center"/>
                </w:tcPr>
                <w:p w14:paraId="7C4F0A72">
                  <w:pPr>
                    <w:pStyle w:val="24"/>
                    <w:bidi w:val="0"/>
                    <w:rPr>
                      <w:rFonts w:hint="default" w:ascii="Times New Roman" w:hAnsi="Times New Roman" w:cs="Times New Roman"/>
                    </w:rPr>
                  </w:pPr>
                  <w:r>
                    <w:rPr>
                      <w:rFonts w:hint="default" w:ascii="Times New Roman" w:hAnsi="Times New Roman" w:cs="Times New Roman"/>
                    </w:rPr>
                    <w:t>t/a</w:t>
                  </w:r>
                </w:p>
              </w:tc>
              <w:tc>
                <w:tcPr>
                  <w:tcW w:w="1653" w:type="dxa"/>
                  <w:shd w:val="clear" w:color="000000" w:fill="auto"/>
                  <w:vAlign w:val="center"/>
                </w:tcPr>
                <w:p w14:paraId="67954509">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4</w:t>
                  </w:r>
                </w:p>
              </w:tc>
              <w:tc>
                <w:tcPr>
                  <w:tcW w:w="1410" w:type="dxa"/>
                  <w:shd w:val="clear" w:color="000000" w:fill="auto"/>
                  <w:vAlign w:val="center"/>
                </w:tcPr>
                <w:p w14:paraId="1C897DB3">
                  <w:pPr>
                    <w:pStyle w:val="24"/>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4</w:t>
                  </w:r>
                </w:p>
              </w:tc>
              <w:tc>
                <w:tcPr>
                  <w:tcW w:w="705" w:type="dxa"/>
                  <w:tcBorders>
                    <w:left w:val="single" w:color="000000" w:sz="4" w:space="0"/>
                  </w:tcBorders>
                  <w:shd w:val="clear" w:color="000000" w:fill="auto"/>
                  <w:vAlign w:val="center"/>
                </w:tcPr>
                <w:p w14:paraId="6057283A">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0.5t</w:t>
                  </w:r>
                </w:p>
              </w:tc>
              <w:tc>
                <w:tcPr>
                  <w:tcW w:w="789" w:type="dxa"/>
                  <w:vMerge w:val="continue"/>
                  <w:shd w:val="clear" w:color="000000" w:fill="auto"/>
                  <w:vAlign w:val="center"/>
                </w:tcPr>
                <w:p w14:paraId="737C88B5">
                  <w:pPr>
                    <w:pStyle w:val="24"/>
                    <w:bidi w:val="0"/>
                    <w:rPr>
                      <w:rFonts w:hint="default" w:ascii="Times New Roman" w:hAnsi="Times New Roman" w:cs="Times New Roman"/>
                    </w:rPr>
                  </w:pPr>
                </w:p>
              </w:tc>
              <w:tc>
                <w:tcPr>
                  <w:tcW w:w="689" w:type="dxa"/>
                  <w:shd w:val="clear" w:color="000000" w:fill="auto"/>
                  <w:vAlign w:val="center"/>
                </w:tcPr>
                <w:p w14:paraId="13853DC0">
                  <w:pPr>
                    <w:pStyle w:val="24"/>
                    <w:bidi w:val="0"/>
                    <w:rPr>
                      <w:rFonts w:hint="default" w:ascii="Times New Roman" w:hAnsi="Times New Roman" w:cs="Times New Roman"/>
                    </w:rPr>
                  </w:pPr>
                  <w:r>
                    <w:rPr>
                      <w:rFonts w:hint="default" w:ascii="Times New Roman" w:hAnsi="Times New Roman" w:cs="Times New Roman"/>
                    </w:rPr>
                    <w:t>汽运</w:t>
                  </w:r>
                </w:p>
              </w:tc>
            </w:tr>
            <w:tr w14:paraId="723C0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329" w:hRule="atLeast"/>
                <w:jc w:val="center"/>
              </w:trPr>
              <w:tc>
                <w:tcPr>
                  <w:tcW w:w="654" w:type="dxa"/>
                  <w:shd w:val="clear" w:color="000000" w:fill="auto"/>
                  <w:vAlign w:val="center"/>
                </w:tcPr>
                <w:p w14:paraId="2466EC50">
                  <w:pPr>
                    <w:pStyle w:val="24"/>
                    <w:bidi w:val="0"/>
                    <w:rPr>
                      <w:rFonts w:hint="default" w:ascii="Times New Roman" w:hAnsi="Times New Roman" w:cs="Times New Roman"/>
                    </w:rPr>
                  </w:pPr>
                  <w:r>
                    <w:rPr>
                      <w:rFonts w:hint="default" w:ascii="Times New Roman" w:hAnsi="Times New Roman" w:cs="Times New Roman"/>
                    </w:rPr>
                    <w:t>5</w:t>
                  </w:r>
                </w:p>
              </w:tc>
              <w:tc>
                <w:tcPr>
                  <w:tcW w:w="1564" w:type="dxa"/>
                  <w:shd w:val="clear" w:color="000000" w:fill="auto"/>
                  <w:vAlign w:val="center"/>
                </w:tcPr>
                <w:p w14:paraId="0394464C">
                  <w:pPr>
                    <w:pStyle w:val="24"/>
                    <w:bidi w:val="0"/>
                    <w:rPr>
                      <w:rFonts w:hint="default" w:ascii="Times New Roman" w:hAnsi="Times New Roman" w:cs="Times New Roman"/>
                      <w:lang w:val="en-US" w:eastAsia="zh-CN"/>
                    </w:rPr>
                  </w:pPr>
                  <w:r>
                    <w:rPr>
                      <w:rFonts w:hint="default" w:ascii="Times New Roman" w:hAnsi="Times New Roman" w:cs="Times New Roman"/>
                    </w:rPr>
                    <w:t>清洗液</w:t>
                  </w:r>
                </w:p>
              </w:tc>
              <w:tc>
                <w:tcPr>
                  <w:tcW w:w="836" w:type="dxa"/>
                  <w:shd w:val="clear" w:color="000000" w:fill="auto"/>
                  <w:vAlign w:val="center"/>
                </w:tcPr>
                <w:p w14:paraId="257BB9EA">
                  <w:pPr>
                    <w:pStyle w:val="24"/>
                    <w:bidi w:val="0"/>
                    <w:rPr>
                      <w:rFonts w:hint="default" w:ascii="Times New Roman" w:hAnsi="Times New Roman" w:cs="Times New Roman"/>
                    </w:rPr>
                  </w:pPr>
                  <w:r>
                    <w:rPr>
                      <w:rFonts w:hint="default" w:ascii="Times New Roman" w:hAnsi="Times New Roman" w:cs="Times New Roman"/>
                    </w:rPr>
                    <w:t>t/a</w:t>
                  </w:r>
                </w:p>
              </w:tc>
              <w:tc>
                <w:tcPr>
                  <w:tcW w:w="1653" w:type="dxa"/>
                  <w:shd w:val="clear" w:color="000000" w:fill="auto"/>
                  <w:vAlign w:val="center"/>
                </w:tcPr>
                <w:p w14:paraId="5F5092A9">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3.6</w:t>
                  </w:r>
                </w:p>
              </w:tc>
              <w:tc>
                <w:tcPr>
                  <w:tcW w:w="1410" w:type="dxa"/>
                  <w:shd w:val="clear" w:color="000000" w:fill="auto"/>
                  <w:vAlign w:val="center"/>
                </w:tcPr>
                <w:p w14:paraId="33BAD01A">
                  <w:pPr>
                    <w:pStyle w:val="24"/>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3.6</w:t>
                  </w:r>
                </w:p>
              </w:tc>
              <w:tc>
                <w:tcPr>
                  <w:tcW w:w="705" w:type="dxa"/>
                  <w:tcBorders>
                    <w:left w:val="single" w:color="000000" w:sz="4" w:space="0"/>
                  </w:tcBorders>
                  <w:shd w:val="clear" w:color="000000" w:fill="auto"/>
                  <w:vAlign w:val="center"/>
                </w:tcPr>
                <w:p w14:paraId="43CB8D48">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0.4t</w:t>
                  </w:r>
                </w:p>
              </w:tc>
              <w:tc>
                <w:tcPr>
                  <w:tcW w:w="789" w:type="dxa"/>
                  <w:vMerge w:val="continue"/>
                  <w:shd w:val="clear" w:color="000000" w:fill="auto"/>
                  <w:vAlign w:val="center"/>
                </w:tcPr>
                <w:p w14:paraId="4C59B1CC">
                  <w:pPr>
                    <w:pStyle w:val="24"/>
                    <w:bidi w:val="0"/>
                    <w:rPr>
                      <w:rFonts w:hint="default" w:ascii="Times New Roman" w:hAnsi="Times New Roman" w:cs="Times New Roman"/>
                    </w:rPr>
                  </w:pPr>
                </w:p>
              </w:tc>
              <w:tc>
                <w:tcPr>
                  <w:tcW w:w="689" w:type="dxa"/>
                  <w:shd w:val="clear" w:color="000000" w:fill="auto"/>
                  <w:vAlign w:val="center"/>
                </w:tcPr>
                <w:p w14:paraId="28C8985E">
                  <w:pPr>
                    <w:pStyle w:val="24"/>
                    <w:bidi w:val="0"/>
                    <w:rPr>
                      <w:rFonts w:hint="default" w:ascii="Times New Roman" w:hAnsi="Times New Roman" w:cs="Times New Roman"/>
                    </w:rPr>
                  </w:pPr>
                  <w:r>
                    <w:rPr>
                      <w:rFonts w:hint="default" w:ascii="Times New Roman" w:hAnsi="Times New Roman" w:cs="Times New Roman"/>
                    </w:rPr>
                    <w:t>汽运</w:t>
                  </w:r>
                </w:p>
              </w:tc>
            </w:tr>
            <w:tr w14:paraId="4345C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286" w:hRule="atLeast"/>
                <w:jc w:val="center"/>
              </w:trPr>
              <w:tc>
                <w:tcPr>
                  <w:tcW w:w="654" w:type="dxa"/>
                  <w:shd w:val="clear" w:color="000000" w:fill="auto"/>
                  <w:vAlign w:val="center"/>
                </w:tcPr>
                <w:p w14:paraId="6557D612">
                  <w:pPr>
                    <w:pStyle w:val="24"/>
                    <w:bidi w:val="0"/>
                    <w:rPr>
                      <w:rFonts w:hint="default" w:ascii="Times New Roman" w:hAnsi="Times New Roman" w:cs="Times New Roman"/>
                    </w:rPr>
                  </w:pPr>
                  <w:r>
                    <w:rPr>
                      <w:rFonts w:hint="default" w:ascii="Times New Roman" w:hAnsi="Times New Roman" w:cs="Times New Roman"/>
                    </w:rPr>
                    <w:t>6</w:t>
                  </w:r>
                </w:p>
              </w:tc>
              <w:tc>
                <w:tcPr>
                  <w:tcW w:w="1564" w:type="dxa"/>
                  <w:shd w:val="clear" w:color="000000" w:fill="auto"/>
                  <w:vAlign w:val="center"/>
                </w:tcPr>
                <w:p w14:paraId="7B174108">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砂轮</w:t>
                  </w:r>
                </w:p>
              </w:tc>
              <w:tc>
                <w:tcPr>
                  <w:tcW w:w="836" w:type="dxa"/>
                  <w:shd w:val="clear" w:color="000000" w:fill="auto"/>
                  <w:vAlign w:val="center"/>
                </w:tcPr>
                <w:p w14:paraId="36B7ECB6">
                  <w:pPr>
                    <w:pStyle w:val="24"/>
                    <w:bidi w:val="0"/>
                    <w:rPr>
                      <w:rFonts w:hint="default" w:ascii="Times New Roman" w:hAnsi="Times New Roman" w:cs="Times New Roman"/>
                    </w:rPr>
                  </w:pPr>
                  <w:r>
                    <w:rPr>
                      <w:rFonts w:hint="default" w:ascii="Times New Roman" w:hAnsi="Times New Roman" w:cs="Times New Roman"/>
                    </w:rPr>
                    <w:t>t/a</w:t>
                  </w:r>
                </w:p>
              </w:tc>
              <w:tc>
                <w:tcPr>
                  <w:tcW w:w="1653" w:type="dxa"/>
                  <w:shd w:val="clear" w:color="000000" w:fill="auto"/>
                  <w:vAlign w:val="center"/>
                </w:tcPr>
                <w:p w14:paraId="33930A07">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0.24</w:t>
                  </w:r>
                </w:p>
              </w:tc>
              <w:tc>
                <w:tcPr>
                  <w:tcW w:w="1410" w:type="dxa"/>
                  <w:shd w:val="clear" w:color="000000" w:fill="auto"/>
                  <w:vAlign w:val="center"/>
                </w:tcPr>
                <w:p w14:paraId="4C84074E">
                  <w:pPr>
                    <w:pStyle w:val="24"/>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0.24</w:t>
                  </w:r>
                </w:p>
              </w:tc>
              <w:tc>
                <w:tcPr>
                  <w:tcW w:w="705" w:type="dxa"/>
                  <w:tcBorders>
                    <w:left w:val="single" w:color="000000" w:sz="4" w:space="0"/>
                  </w:tcBorders>
                  <w:shd w:val="clear" w:color="000000" w:fill="auto"/>
                  <w:vAlign w:val="center"/>
                </w:tcPr>
                <w:p w14:paraId="0F36F4B6">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0.05t</w:t>
                  </w:r>
                </w:p>
              </w:tc>
              <w:tc>
                <w:tcPr>
                  <w:tcW w:w="789" w:type="dxa"/>
                  <w:shd w:val="clear" w:color="000000" w:fill="auto"/>
                  <w:vAlign w:val="center"/>
                </w:tcPr>
                <w:p w14:paraId="0DF7FC8F">
                  <w:pPr>
                    <w:pStyle w:val="24"/>
                    <w:bidi w:val="0"/>
                    <w:rPr>
                      <w:rFonts w:hint="default" w:ascii="Times New Roman" w:hAnsi="Times New Roman" w:cs="Times New Roman"/>
                      <w:lang w:eastAsia="zh-CN"/>
                    </w:rPr>
                  </w:pPr>
                  <w:r>
                    <w:rPr>
                      <w:rFonts w:hint="default" w:ascii="Times New Roman" w:hAnsi="Times New Roman" w:cs="Times New Roman"/>
                      <w:lang w:eastAsia="zh-CN"/>
                    </w:rPr>
                    <w:t>配件</w:t>
                  </w:r>
                </w:p>
                <w:p w14:paraId="55A9B734">
                  <w:pPr>
                    <w:pStyle w:val="24"/>
                    <w:bidi w:val="0"/>
                    <w:rPr>
                      <w:rFonts w:hint="default" w:ascii="Times New Roman" w:hAnsi="Times New Roman" w:eastAsia="宋体" w:cs="Times New Roman"/>
                      <w:lang w:eastAsia="zh-CN"/>
                    </w:rPr>
                  </w:pPr>
                  <w:r>
                    <w:rPr>
                      <w:rFonts w:hint="default" w:ascii="Times New Roman" w:hAnsi="Times New Roman" w:cs="Times New Roman"/>
                      <w:lang w:eastAsia="zh-CN"/>
                    </w:rPr>
                    <w:t>仓库</w:t>
                  </w:r>
                </w:p>
              </w:tc>
              <w:tc>
                <w:tcPr>
                  <w:tcW w:w="689" w:type="dxa"/>
                  <w:shd w:val="clear" w:color="000000" w:fill="auto"/>
                  <w:vAlign w:val="center"/>
                </w:tcPr>
                <w:p w14:paraId="5C93EDF6">
                  <w:pPr>
                    <w:pStyle w:val="24"/>
                    <w:bidi w:val="0"/>
                    <w:rPr>
                      <w:rFonts w:hint="default" w:ascii="Times New Roman" w:hAnsi="Times New Roman" w:cs="Times New Roman"/>
                    </w:rPr>
                  </w:pPr>
                  <w:r>
                    <w:rPr>
                      <w:rFonts w:hint="default" w:ascii="Times New Roman" w:hAnsi="Times New Roman" w:cs="Times New Roman"/>
                    </w:rPr>
                    <w:t>汽运</w:t>
                  </w:r>
                </w:p>
              </w:tc>
            </w:tr>
            <w:tr w14:paraId="0C7A0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346" w:hRule="atLeast"/>
                <w:jc w:val="center"/>
              </w:trPr>
              <w:tc>
                <w:tcPr>
                  <w:tcW w:w="654" w:type="dxa"/>
                  <w:shd w:val="clear" w:color="000000" w:fill="auto"/>
                  <w:vAlign w:val="center"/>
                </w:tcPr>
                <w:p w14:paraId="1F75659C">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7</w:t>
                  </w:r>
                </w:p>
              </w:tc>
              <w:tc>
                <w:tcPr>
                  <w:tcW w:w="1564" w:type="dxa"/>
                  <w:shd w:val="clear" w:color="000000" w:fill="auto"/>
                  <w:vAlign w:val="center"/>
                </w:tcPr>
                <w:p w14:paraId="6955FA3F">
                  <w:pPr>
                    <w:pStyle w:val="24"/>
                    <w:bidi w:val="0"/>
                    <w:rPr>
                      <w:rFonts w:hint="default" w:ascii="Times New Roman" w:hAnsi="Times New Roman" w:cs="Times New Roman"/>
                    </w:rPr>
                  </w:pPr>
                  <w:r>
                    <w:rPr>
                      <w:rFonts w:hint="default" w:ascii="Times New Roman" w:hAnsi="Times New Roman" w:cs="Times New Roman"/>
                    </w:rPr>
                    <w:t>水</w:t>
                  </w:r>
                </w:p>
              </w:tc>
              <w:tc>
                <w:tcPr>
                  <w:tcW w:w="836" w:type="dxa"/>
                  <w:shd w:val="clear" w:color="000000" w:fill="auto"/>
                  <w:vAlign w:val="center"/>
                </w:tcPr>
                <w:p w14:paraId="37733F76">
                  <w:pPr>
                    <w:pStyle w:val="24"/>
                    <w:bidi w:val="0"/>
                    <w:rPr>
                      <w:rFonts w:hint="default" w:ascii="Times New Roman" w:hAnsi="Times New Roman" w:cs="Times New Roman"/>
                    </w:rPr>
                  </w:pPr>
                  <w:r>
                    <w:rPr>
                      <w:rFonts w:hint="default" w:ascii="Times New Roman" w:hAnsi="Times New Roman" w:cs="Times New Roman"/>
                    </w:rPr>
                    <w:t>t/a</w:t>
                  </w:r>
                </w:p>
              </w:tc>
              <w:tc>
                <w:tcPr>
                  <w:tcW w:w="1653" w:type="dxa"/>
                  <w:shd w:val="clear" w:color="000000" w:fill="auto"/>
                  <w:vAlign w:val="center"/>
                </w:tcPr>
                <w:p w14:paraId="61FEEB05">
                  <w:pPr>
                    <w:pStyle w:val="24"/>
                    <w:bidi w:val="0"/>
                    <w:rPr>
                      <w:rFonts w:hint="default" w:ascii="Times New Roman" w:hAnsi="Times New Roman" w:eastAsia="宋体" w:cs="Times New Roman"/>
                      <w:lang w:val="en-US" w:eastAsia="zh-CN"/>
                    </w:rPr>
                  </w:pPr>
                  <w:r>
                    <w:rPr>
                      <w:rFonts w:hint="eastAsia" w:ascii="Times New Roman" w:hAnsi="Times New Roman" w:cs="Times New Roman"/>
                      <w:lang w:val="en-US" w:eastAsia="zh-CN"/>
                    </w:rPr>
                    <w:t>777.8</w:t>
                  </w:r>
                </w:p>
              </w:tc>
              <w:tc>
                <w:tcPr>
                  <w:tcW w:w="1410" w:type="dxa"/>
                  <w:shd w:val="clear" w:color="000000" w:fill="auto"/>
                  <w:vAlign w:val="center"/>
                </w:tcPr>
                <w:p w14:paraId="7BBD432F">
                  <w:pPr>
                    <w:pStyle w:val="24"/>
                    <w:bidi w:val="0"/>
                    <w:rPr>
                      <w:rFonts w:hint="default" w:ascii="Times New Roman" w:hAnsi="Times New Roman" w:eastAsia="宋体" w:cs="Times New Roman"/>
                      <w:lang w:val="en-US" w:eastAsia="zh-CN"/>
                    </w:rPr>
                  </w:pPr>
                  <w:r>
                    <w:rPr>
                      <w:rFonts w:hint="eastAsia" w:ascii="Times New Roman" w:hAnsi="Times New Roman" w:cs="Times New Roman"/>
                      <w:lang w:val="en-US" w:eastAsia="zh-CN"/>
                    </w:rPr>
                    <w:t>747</w:t>
                  </w:r>
                </w:p>
              </w:tc>
              <w:tc>
                <w:tcPr>
                  <w:tcW w:w="705" w:type="dxa"/>
                  <w:tcBorders>
                    <w:left w:val="single" w:color="000000" w:sz="4" w:space="0"/>
                  </w:tcBorders>
                  <w:shd w:val="clear" w:color="000000" w:fill="auto"/>
                  <w:vAlign w:val="center"/>
                </w:tcPr>
                <w:p w14:paraId="78CE441A">
                  <w:pPr>
                    <w:pStyle w:val="24"/>
                    <w:bidi w:val="0"/>
                    <w:rPr>
                      <w:rFonts w:hint="default" w:ascii="Times New Roman" w:hAnsi="Times New Roman" w:cs="Times New Roman"/>
                    </w:rPr>
                  </w:pPr>
                  <w:r>
                    <w:rPr>
                      <w:rFonts w:hint="default" w:ascii="Times New Roman" w:hAnsi="Times New Roman" w:cs="Times New Roman"/>
                    </w:rPr>
                    <w:t>/</w:t>
                  </w:r>
                </w:p>
              </w:tc>
              <w:tc>
                <w:tcPr>
                  <w:tcW w:w="789" w:type="dxa"/>
                  <w:shd w:val="clear" w:color="000000" w:fill="auto"/>
                  <w:vAlign w:val="center"/>
                </w:tcPr>
                <w:p w14:paraId="08A6FA16">
                  <w:pPr>
                    <w:pStyle w:val="24"/>
                    <w:bidi w:val="0"/>
                    <w:rPr>
                      <w:rFonts w:hint="default" w:ascii="Times New Roman" w:hAnsi="Times New Roman" w:cs="Times New Roman"/>
                    </w:rPr>
                  </w:pPr>
                  <w:r>
                    <w:rPr>
                      <w:rFonts w:hint="default" w:ascii="Times New Roman" w:hAnsi="Times New Roman" w:cs="Times New Roman"/>
                    </w:rPr>
                    <w:t>/</w:t>
                  </w:r>
                </w:p>
              </w:tc>
              <w:tc>
                <w:tcPr>
                  <w:tcW w:w="689" w:type="dxa"/>
                  <w:shd w:val="clear" w:color="000000" w:fill="auto"/>
                  <w:vAlign w:val="center"/>
                </w:tcPr>
                <w:p w14:paraId="57B735A0">
                  <w:pPr>
                    <w:pStyle w:val="24"/>
                    <w:bidi w:val="0"/>
                    <w:rPr>
                      <w:rFonts w:hint="default" w:ascii="Times New Roman" w:hAnsi="Times New Roman" w:cs="Times New Roman"/>
                    </w:rPr>
                  </w:pPr>
                  <w:r>
                    <w:rPr>
                      <w:rFonts w:hint="default" w:ascii="Times New Roman" w:hAnsi="Times New Roman" w:cs="Times New Roman"/>
                    </w:rPr>
                    <w:t>/</w:t>
                  </w:r>
                </w:p>
              </w:tc>
            </w:tr>
            <w:tr w14:paraId="7DAC3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531" w:hRule="atLeast"/>
                <w:jc w:val="center"/>
              </w:trPr>
              <w:tc>
                <w:tcPr>
                  <w:tcW w:w="654" w:type="dxa"/>
                  <w:shd w:val="clear" w:color="000000" w:fill="auto"/>
                  <w:vAlign w:val="center"/>
                </w:tcPr>
                <w:p w14:paraId="073927D8">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8</w:t>
                  </w:r>
                </w:p>
              </w:tc>
              <w:tc>
                <w:tcPr>
                  <w:tcW w:w="1564" w:type="dxa"/>
                  <w:shd w:val="clear" w:color="000000" w:fill="auto"/>
                  <w:vAlign w:val="center"/>
                </w:tcPr>
                <w:p w14:paraId="5E8112F1">
                  <w:pPr>
                    <w:pStyle w:val="24"/>
                    <w:bidi w:val="0"/>
                    <w:rPr>
                      <w:rFonts w:hint="default" w:ascii="Times New Roman" w:hAnsi="Times New Roman" w:cs="Times New Roman"/>
                    </w:rPr>
                  </w:pPr>
                  <w:r>
                    <w:rPr>
                      <w:rFonts w:hint="default" w:ascii="Times New Roman" w:hAnsi="Times New Roman" w:cs="Times New Roman"/>
                    </w:rPr>
                    <w:t>电</w:t>
                  </w:r>
                </w:p>
              </w:tc>
              <w:tc>
                <w:tcPr>
                  <w:tcW w:w="836" w:type="dxa"/>
                  <w:shd w:val="clear" w:color="000000" w:fill="auto"/>
                  <w:vAlign w:val="center"/>
                </w:tcPr>
                <w:p w14:paraId="7DAED9EB">
                  <w:pPr>
                    <w:pStyle w:val="24"/>
                    <w:bidi w:val="0"/>
                    <w:rPr>
                      <w:rFonts w:hint="default" w:ascii="Times New Roman" w:hAnsi="Times New Roman" w:cs="Times New Roman"/>
                    </w:rPr>
                  </w:pPr>
                  <w:r>
                    <w:rPr>
                      <w:rFonts w:hint="default" w:ascii="Times New Roman" w:hAnsi="Times New Roman" w:cs="Times New Roman"/>
                    </w:rPr>
                    <w:t>万kWh/ a</w:t>
                  </w:r>
                </w:p>
              </w:tc>
              <w:tc>
                <w:tcPr>
                  <w:tcW w:w="1653" w:type="dxa"/>
                  <w:shd w:val="clear" w:color="000000" w:fill="auto"/>
                  <w:vAlign w:val="center"/>
                </w:tcPr>
                <w:p w14:paraId="01DF8BC8">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150</w:t>
                  </w:r>
                </w:p>
              </w:tc>
              <w:tc>
                <w:tcPr>
                  <w:tcW w:w="1410" w:type="dxa"/>
                  <w:shd w:val="clear" w:color="000000" w:fill="auto"/>
                  <w:vAlign w:val="center"/>
                </w:tcPr>
                <w:p w14:paraId="3F8B7F34">
                  <w:pPr>
                    <w:pStyle w:val="24"/>
                    <w:bidi w:val="0"/>
                    <w:rPr>
                      <w:rFonts w:hint="default" w:ascii="Times New Roman" w:hAnsi="Times New Roman" w:eastAsia="宋体" w:cs="Times New Roman"/>
                      <w:lang w:val="en-US" w:eastAsia="zh-CN"/>
                    </w:rPr>
                  </w:pPr>
                  <w:r>
                    <w:rPr>
                      <w:rFonts w:hint="default" w:ascii="Times New Roman" w:hAnsi="Times New Roman" w:cs="Times New Roman"/>
                      <w:lang w:val="en-US" w:eastAsia="zh-CN"/>
                    </w:rPr>
                    <w:t>150</w:t>
                  </w:r>
                </w:p>
              </w:tc>
              <w:tc>
                <w:tcPr>
                  <w:tcW w:w="705" w:type="dxa"/>
                  <w:tcBorders>
                    <w:left w:val="single" w:color="000000" w:sz="4" w:space="0"/>
                  </w:tcBorders>
                  <w:shd w:val="clear" w:color="000000" w:fill="auto"/>
                  <w:vAlign w:val="center"/>
                </w:tcPr>
                <w:p w14:paraId="52F5D7DF">
                  <w:pPr>
                    <w:pStyle w:val="24"/>
                    <w:bidi w:val="0"/>
                    <w:rPr>
                      <w:rFonts w:hint="default" w:ascii="Times New Roman" w:hAnsi="Times New Roman" w:cs="Times New Roman"/>
                    </w:rPr>
                  </w:pPr>
                  <w:r>
                    <w:rPr>
                      <w:rFonts w:hint="default" w:ascii="Times New Roman" w:hAnsi="Times New Roman" w:cs="Times New Roman"/>
                    </w:rPr>
                    <w:t>/</w:t>
                  </w:r>
                </w:p>
              </w:tc>
              <w:tc>
                <w:tcPr>
                  <w:tcW w:w="789" w:type="dxa"/>
                  <w:shd w:val="clear" w:color="000000" w:fill="auto"/>
                  <w:vAlign w:val="center"/>
                </w:tcPr>
                <w:p w14:paraId="2D620AFB">
                  <w:pPr>
                    <w:pStyle w:val="24"/>
                    <w:bidi w:val="0"/>
                    <w:rPr>
                      <w:rFonts w:hint="default" w:ascii="Times New Roman" w:hAnsi="Times New Roman" w:cs="Times New Roman"/>
                    </w:rPr>
                  </w:pPr>
                  <w:r>
                    <w:rPr>
                      <w:rFonts w:hint="default" w:ascii="Times New Roman" w:hAnsi="Times New Roman" w:cs="Times New Roman"/>
                    </w:rPr>
                    <w:t>/</w:t>
                  </w:r>
                </w:p>
              </w:tc>
              <w:tc>
                <w:tcPr>
                  <w:tcW w:w="689" w:type="dxa"/>
                  <w:shd w:val="clear" w:color="000000" w:fill="auto"/>
                  <w:vAlign w:val="center"/>
                </w:tcPr>
                <w:p w14:paraId="3B16895D">
                  <w:pPr>
                    <w:pStyle w:val="24"/>
                    <w:bidi w:val="0"/>
                    <w:rPr>
                      <w:rFonts w:hint="default" w:ascii="Times New Roman" w:hAnsi="Times New Roman" w:cs="Times New Roman"/>
                    </w:rPr>
                  </w:pPr>
                  <w:r>
                    <w:rPr>
                      <w:rFonts w:hint="default" w:ascii="Times New Roman" w:hAnsi="Times New Roman" w:cs="Times New Roman"/>
                    </w:rPr>
                    <w:t>/</w:t>
                  </w:r>
                </w:p>
              </w:tc>
            </w:tr>
          </w:tbl>
          <w:p w14:paraId="4584F3F4">
            <w:pPr>
              <w:keepNext w:val="0"/>
              <w:keepLines w:val="0"/>
              <w:widowControl/>
              <w:suppressLineNumbers w:val="0"/>
              <w:adjustRightInd w:val="0"/>
              <w:snapToGrid w:val="0"/>
              <w:spacing w:before="48" w:beforeLines="20" w:beforeAutospacing="0" w:after="200" w:afterAutospacing="0" w:line="360" w:lineRule="auto"/>
              <w:ind w:left="0" w:right="0" w:firstLine="480" w:firstLineChars="200"/>
              <w:jc w:val="left"/>
              <w:rPr>
                <w:rFonts w:hint="default"/>
              </w:rPr>
            </w:pPr>
            <w:r>
              <w:rPr>
                <w:rFonts w:hint="eastAsia"/>
                <w:lang w:eastAsia="zh-CN"/>
              </w:rPr>
              <w:t>根据实地调查，</w:t>
            </w:r>
            <w:r>
              <w:rPr>
                <w:rFonts w:hint="eastAsia"/>
              </w:rPr>
              <w:t>本项目水平衡图见图2-1</w:t>
            </w:r>
          </w:p>
          <w:p w14:paraId="4807E07A">
            <w:pPr>
              <w:pStyle w:val="16"/>
              <w:keepNext w:val="0"/>
              <w:keepLines w:val="0"/>
              <w:suppressLineNumbers w:val="0"/>
              <w:spacing w:before="0" w:beforeAutospacing="0" w:afterAutospacing="0" w:line="360" w:lineRule="auto"/>
              <w:ind w:left="0" w:leftChars="0" w:right="0" w:firstLine="0" w:firstLineChars="0"/>
              <w:jc w:val="center"/>
              <w:rPr>
                <w:rFonts w:hint="default"/>
              </w:rPr>
            </w:pPr>
            <w:r>
              <w:rPr>
                <w:rFonts w:hint="default"/>
              </w:rPr>
              <w:object>
                <v:shape id="_x0000_i1025" o:spt="75" type="#_x0000_t75" style="height:331.65pt;width:650.15pt;" o:ole="t" filled="f" o:preferrelative="t" stroked="f" coordsize="21600,21600">
                  <v:path/>
                  <v:fill on="f" focussize="0,0"/>
                  <v:stroke on="f"/>
                  <v:imagedata r:id="rId9" cropleft="2107f" croptop="7501f" cropbottom="9258f" o:title=""/>
                  <o:lock v:ext="edit" aspectratio="t"/>
                  <w10:wrap type="none"/>
                  <w10:anchorlock/>
                </v:shape>
                <o:OLEObject Type="Embed" ProgID="Visio.Drawing.11" ShapeID="_x0000_i1025" DrawAspect="Content" ObjectID="_1468075725" r:id="rId8">
                  <o:LockedField>false</o:LockedField>
                </o:OLEObject>
              </w:object>
            </w:r>
            <w:r>
              <w:rPr>
                <w:rStyle w:val="58"/>
                <w:rFonts w:hint="default"/>
              </w:rPr>
              <w:t>图</w:t>
            </w:r>
            <w:r>
              <w:rPr>
                <w:rStyle w:val="58"/>
                <w:rFonts w:hint="eastAsia"/>
              </w:rPr>
              <w:t>2-1  项目</w:t>
            </w:r>
            <w:r>
              <w:rPr>
                <w:rStyle w:val="58"/>
                <w:rFonts w:hint="eastAsia"/>
                <w:lang w:eastAsia="zh-CN"/>
              </w:rPr>
              <w:t>实际</w:t>
            </w:r>
            <w:r>
              <w:rPr>
                <w:rStyle w:val="58"/>
                <w:rFonts w:hint="eastAsia"/>
              </w:rPr>
              <w:t>给排</w:t>
            </w:r>
            <w:r>
              <w:rPr>
                <w:rStyle w:val="58"/>
                <w:rFonts w:hint="default"/>
              </w:rPr>
              <w:t>水平衡图</w:t>
            </w:r>
            <w:r>
              <w:rPr>
                <w:rStyle w:val="58"/>
                <w:rFonts w:hint="eastAsia"/>
              </w:rPr>
              <w:t>（单位：t/</w:t>
            </w:r>
            <w:r>
              <w:rPr>
                <w:rStyle w:val="58"/>
                <w:rFonts w:hint="eastAsia"/>
                <w:lang w:val="en-US" w:eastAsia="zh-CN"/>
              </w:rPr>
              <w:t>a</w:t>
            </w:r>
            <w:r>
              <w:rPr>
                <w:rStyle w:val="58"/>
                <w:rFonts w:hint="eastAsia"/>
              </w:rPr>
              <w:t>）</w:t>
            </w:r>
          </w:p>
          <w:p w14:paraId="3CABA541">
            <w:pPr>
              <w:pStyle w:val="4"/>
              <w:suppressLineNumbers w:val="0"/>
              <w:bidi w:val="0"/>
              <w:spacing w:before="0" w:beforeAutospacing="0" w:after="0" w:afterAutospacing="0"/>
              <w:ind w:left="0" w:right="0"/>
              <w:rPr>
                <w:rFonts w:hint="eastAsia"/>
              </w:rPr>
            </w:pPr>
            <w:r>
              <w:rPr>
                <w:rFonts w:hint="default"/>
              </w:rPr>
              <w:t>2.1.4</w:t>
            </w:r>
            <w:r>
              <w:rPr>
                <w:rFonts w:hint="eastAsia"/>
              </w:rPr>
              <w:t>项目生产设备表更情况</w:t>
            </w:r>
          </w:p>
          <w:p w14:paraId="47B3F6EA">
            <w:pPr>
              <w:keepNext w:val="0"/>
              <w:keepLines w:val="0"/>
              <w:suppressLineNumbers w:val="0"/>
              <w:spacing w:before="0" w:beforeAutospacing="0" w:after="0" w:afterAutospacing="0"/>
              <w:ind w:left="0" w:right="0"/>
              <w:rPr>
                <w:rFonts w:hint="default" w:eastAsiaTheme="minorEastAsia"/>
                <w:lang w:val="en-US" w:eastAsia="zh-CN"/>
              </w:rPr>
            </w:pPr>
            <w:r>
              <w:rPr>
                <w:rFonts w:hint="eastAsia"/>
                <w:lang w:val="en-US" w:eastAsia="zh-CN"/>
              </w:rPr>
              <w:t>验收阶段设备规格产能发生变化，实际安装设备减少，但可满足本项目实际生产需求。</w:t>
            </w:r>
          </w:p>
          <w:p w14:paraId="6B96CAA0">
            <w:pPr>
              <w:keepNext w:val="0"/>
              <w:keepLines w:val="0"/>
              <w:suppressLineNumbers w:val="0"/>
              <w:spacing w:before="0" w:beforeAutospacing="0" w:after="0" w:afterAutospacing="0" w:line="360" w:lineRule="auto"/>
              <w:ind w:left="0" w:right="0"/>
              <w:jc w:val="center"/>
              <w:rPr>
                <w:rFonts w:hint="default"/>
              </w:rPr>
            </w:pPr>
            <w:r>
              <w:rPr>
                <w:rFonts w:hint="eastAsia"/>
                <w:b/>
                <w:bCs/>
              </w:rPr>
              <w:t>表2</w:t>
            </w:r>
            <w:r>
              <w:rPr>
                <w:rFonts w:hint="eastAsia"/>
                <w:b/>
                <w:bCs/>
                <w:lang w:val="en-US" w:eastAsia="zh-CN"/>
              </w:rPr>
              <w:t>.1</w:t>
            </w:r>
            <w:r>
              <w:rPr>
                <w:rFonts w:hint="eastAsia"/>
                <w:b/>
                <w:bCs/>
              </w:rPr>
              <w:t>-</w:t>
            </w:r>
            <w:r>
              <w:rPr>
                <w:rFonts w:hint="eastAsia"/>
                <w:b/>
                <w:bCs/>
                <w:lang w:val="en-US" w:eastAsia="zh-CN"/>
              </w:rPr>
              <w:t xml:space="preserve">3 </w:t>
            </w:r>
            <w:r>
              <w:rPr>
                <w:rFonts w:hint="eastAsia"/>
                <w:b/>
                <w:bCs/>
              </w:rPr>
              <w:t>项目主要生产设备变更一览表</w:t>
            </w:r>
          </w:p>
          <w:tbl>
            <w:tblPr>
              <w:tblStyle w:val="19"/>
              <w:tblW w:w="8312" w:type="dxa"/>
              <w:tblInd w:w="0" w:type="dxa"/>
              <w:tblLayout w:type="fixed"/>
              <w:tblCellMar>
                <w:top w:w="0" w:type="dxa"/>
                <w:left w:w="108" w:type="dxa"/>
                <w:bottom w:w="0" w:type="dxa"/>
                <w:right w:w="108" w:type="dxa"/>
              </w:tblCellMar>
            </w:tblPr>
            <w:tblGrid>
              <w:gridCol w:w="876"/>
              <w:gridCol w:w="1108"/>
              <w:gridCol w:w="1466"/>
              <w:gridCol w:w="2601"/>
              <w:gridCol w:w="1080"/>
              <w:gridCol w:w="1181"/>
            </w:tblGrid>
            <w:tr w14:paraId="6A468262">
              <w:tblPrEx>
                <w:tblCellMar>
                  <w:top w:w="0" w:type="dxa"/>
                  <w:left w:w="108" w:type="dxa"/>
                  <w:bottom w:w="0" w:type="dxa"/>
                  <w:right w:w="108" w:type="dxa"/>
                </w:tblCellMar>
              </w:tblPrEx>
              <w:trPr>
                <w:trHeight w:val="312" w:hRule="atLeast"/>
              </w:trPr>
              <w:tc>
                <w:tcPr>
                  <w:tcW w:w="1984" w:type="dxa"/>
                  <w:gridSpan w:val="2"/>
                  <w:vMerge w:val="restart"/>
                  <w:tcBorders>
                    <w:top w:val="single" w:color="000000" w:sz="8" w:space="0"/>
                    <w:left w:val="single" w:color="000000" w:sz="8" w:space="0"/>
                    <w:bottom w:val="single" w:color="000000" w:sz="4" w:space="0"/>
                    <w:right w:val="single" w:color="000000" w:sz="4" w:space="0"/>
                  </w:tcBorders>
                  <w:shd w:val="clear" w:color="auto" w:fill="FFFFFF"/>
                  <w:vAlign w:val="center"/>
                </w:tcPr>
                <w:p w14:paraId="47F64638">
                  <w:pPr>
                    <w:pStyle w:val="24"/>
                    <w:rPr>
                      <w:rFonts w:hint="default" w:ascii="Times New Roman" w:hAnsi="Times New Roman" w:cs="Times New Roman"/>
                    </w:rPr>
                  </w:pPr>
                  <w:bookmarkStart w:id="0" w:name="_Toc25840"/>
                  <w:r>
                    <w:rPr>
                      <w:rFonts w:hint="default" w:ascii="Times New Roman" w:hAnsi="Times New Roman" w:cs="Times New Roman"/>
                    </w:rPr>
                    <w:t>分类</w:t>
                  </w:r>
                </w:p>
              </w:tc>
              <w:tc>
                <w:tcPr>
                  <w:tcW w:w="1466" w:type="dxa"/>
                  <w:vMerge w:val="restart"/>
                  <w:tcBorders>
                    <w:top w:val="single" w:color="000000" w:sz="8" w:space="0"/>
                    <w:left w:val="single" w:color="000000" w:sz="4" w:space="0"/>
                    <w:bottom w:val="single" w:color="000000" w:sz="4" w:space="0"/>
                    <w:right w:val="single" w:color="000000" w:sz="4" w:space="0"/>
                  </w:tcBorders>
                  <w:shd w:val="clear" w:color="auto" w:fill="FFFFFF"/>
                  <w:vAlign w:val="center"/>
                </w:tcPr>
                <w:p w14:paraId="41643930">
                  <w:pPr>
                    <w:pStyle w:val="24"/>
                    <w:rPr>
                      <w:rFonts w:hint="default" w:ascii="Times New Roman" w:hAnsi="Times New Roman" w:cs="Times New Roman"/>
                    </w:rPr>
                  </w:pPr>
                  <w:r>
                    <w:rPr>
                      <w:rFonts w:hint="default" w:ascii="Times New Roman" w:hAnsi="Times New Roman" w:cs="Times New Roman"/>
                    </w:rPr>
                    <w:t>序号</w:t>
                  </w:r>
                </w:p>
              </w:tc>
              <w:tc>
                <w:tcPr>
                  <w:tcW w:w="2601" w:type="dxa"/>
                  <w:vMerge w:val="restart"/>
                  <w:tcBorders>
                    <w:top w:val="single" w:color="000000" w:sz="8" w:space="0"/>
                    <w:left w:val="single" w:color="000000" w:sz="4" w:space="0"/>
                    <w:bottom w:val="single" w:color="000000" w:sz="4" w:space="0"/>
                    <w:right w:val="single" w:color="000000" w:sz="4" w:space="0"/>
                  </w:tcBorders>
                  <w:shd w:val="clear" w:color="auto" w:fill="FFFFFF"/>
                  <w:vAlign w:val="center"/>
                </w:tcPr>
                <w:p w14:paraId="78DA6A79">
                  <w:pPr>
                    <w:pStyle w:val="24"/>
                    <w:rPr>
                      <w:rFonts w:hint="default" w:ascii="Times New Roman" w:hAnsi="Times New Roman" w:cs="Times New Roman"/>
                    </w:rPr>
                  </w:pPr>
                  <w:r>
                    <w:rPr>
                      <w:rFonts w:hint="default" w:ascii="Times New Roman" w:hAnsi="Times New Roman" w:cs="Times New Roman"/>
                    </w:rPr>
                    <w:t>设备名称</w:t>
                  </w:r>
                </w:p>
              </w:tc>
              <w:tc>
                <w:tcPr>
                  <w:tcW w:w="1080" w:type="dxa"/>
                  <w:vMerge w:val="restart"/>
                  <w:tcBorders>
                    <w:top w:val="single" w:color="000000" w:sz="8" w:space="0"/>
                    <w:left w:val="single" w:color="000000" w:sz="4" w:space="0"/>
                    <w:right w:val="single" w:color="000000" w:sz="4" w:space="0"/>
                  </w:tcBorders>
                  <w:shd w:val="clear" w:color="auto" w:fill="FFFFFF"/>
                  <w:vAlign w:val="center"/>
                </w:tcPr>
                <w:p w14:paraId="35087B8E">
                  <w:pPr>
                    <w:pStyle w:val="24"/>
                    <w:rPr>
                      <w:rFonts w:hint="default" w:ascii="Times New Roman" w:hAnsi="Times New Roman" w:eastAsia="宋体" w:cs="Times New Roman"/>
                      <w:lang w:val="en-US" w:eastAsia="zh-CN"/>
                    </w:rPr>
                  </w:pPr>
                  <w:r>
                    <w:rPr>
                      <w:rFonts w:hint="eastAsia" w:ascii="Times New Roman" w:hAnsi="Times New Roman" w:cs="Times New Roman"/>
                      <w:lang w:val="en-US" w:eastAsia="zh-CN"/>
                    </w:rPr>
                    <w:t>环评阶段</w:t>
                  </w:r>
                </w:p>
              </w:tc>
              <w:tc>
                <w:tcPr>
                  <w:tcW w:w="1181" w:type="dxa"/>
                  <w:vMerge w:val="restart"/>
                  <w:tcBorders>
                    <w:top w:val="single" w:color="000000" w:sz="8" w:space="0"/>
                    <w:left w:val="single" w:color="000000" w:sz="4" w:space="0"/>
                    <w:right w:val="single" w:color="000000" w:sz="4" w:space="0"/>
                  </w:tcBorders>
                  <w:shd w:val="clear" w:color="auto" w:fill="FFFFFF"/>
                  <w:vAlign w:val="center"/>
                </w:tcPr>
                <w:p w14:paraId="5AF1CDB5">
                  <w:pPr>
                    <w:pStyle w:val="24"/>
                    <w:rPr>
                      <w:rFonts w:hint="default" w:ascii="Times New Roman" w:hAnsi="Times New Roman" w:cs="Times New Roman"/>
                      <w:lang w:val="en-US" w:eastAsia="zh-CN"/>
                    </w:rPr>
                  </w:pPr>
                  <w:r>
                    <w:rPr>
                      <w:rFonts w:hint="eastAsia" w:ascii="Times New Roman" w:hAnsi="Times New Roman" w:cs="Times New Roman"/>
                      <w:lang w:val="en-US" w:eastAsia="zh-CN"/>
                    </w:rPr>
                    <w:t>验收阶段</w:t>
                  </w:r>
                </w:p>
              </w:tc>
            </w:tr>
            <w:tr w14:paraId="61FD349C">
              <w:tblPrEx>
                <w:tblCellMar>
                  <w:top w:w="0" w:type="dxa"/>
                  <w:left w:w="108" w:type="dxa"/>
                  <w:bottom w:w="0" w:type="dxa"/>
                  <w:right w:w="108" w:type="dxa"/>
                </w:tblCellMar>
              </w:tblPrEx>
              <w:trPr>
                <w:trHeight w:val="312" w:hRule="atLeast"/>
              </w:trPr>
              <w:tc>
                <w:tcPr>
                  <w:tcW w:w="1984" w:type="dxa"/>
                  <w:gridSpan w:val="2"/>
                  <w:vMerge w:val="continue"/>
                  <w:tcBorders>
                    <w:top w:val="single" w:color="000000" w:sz="8" w:space="0"/>
                    <w:left w:val="single" w:color="000000" w:sz="8" w:space="0"/>
                    <w:bottom w:val="single" w:color="000000" w:sz="4" w:space="0"/>
                    <w:right w:val="single" w:color="000000" w:sz="4" w:space="0"/>
                  </w:tcBorders>
                  <w:shd w:val="clear" w:color="auto" w:fill="FFFFFF"/>
                  <w:vAlign w:val="center"/>
                </w:tcPr>
                <w:p w14:paraId="051CDE49">
                  <w:pPr>
                    <w:pStyle w:val="24"/>
                    <w:rPr>
                      <w:rFonts w:hint="default" w:ascii="Times New Roman" w:hAnsi="Times New Roman" w:cs="Times New Roman"/>
                    </w:rPr>
                  </w:pPr>
                </w:p>
              </w:tc>
              <w:tc>
                <w:tcPr>
                  <w:tcW w:w="1466" w:type="dxa"/>
                  <w:vMerge w:val="continue"/>
                  <w:tcBorders>
                    <w:top w:val="single" w:color="000000" w:sz="8" w:space="0"/>
                    <w:left w:val="single" w:color="000000" w:sz="4" w:space="0"/>
                    <w:bottom w:val="single" w:color="000000" w:sz="4" w:space="0"/>
                    <w:right w:val="single" w:color="000000" w:sz="4" w:space="0"/>
                  </w:tcBorders>
                  <w:shd w:val="clear" w:color="auto" w:fill="FFFFFF"/>
                  <w:vAlign w:val="center"/>
                </w:tcPr>
                <w:p w14:paraId="6B3DB7D1">
                  <w:pPr>
                    <w:pStyle w:val="24"/>
                    <w:rPr>
                      <w:rFonts w:hint="default" w:ascii="Times New Roman" w:hAnsi="Times New Roman" w:cs="Times New Roman"/>
                    </w:rPr>
                  </w:pPr>
                </w:p>
              </w:tc>
              <w:tc>
                <w:tcPr>
                  <w:tcW w:w="2601" w:type="dxa"/>
                  <w:vMerge w:val="continue"/>
                  <w:tcBorders>
                    <w:top w:val="single" w:color="000000" w:sz="8" w:space="0"/>
                    <w:left w:val="single" w:color="000000" w:sz="4" w:space="0"/>
                    <w:bottom w:val="single" w:color="000000" w:sz="4" w:space="0"/>
                    <w:right w:val="single" w:color="000000" w:sz="4" w:space="0"/>
                  </w:tcBorders>
                  <w:shd w:val="clear" w:color="auto" w:fill="FFFFFF"/>
                  <w:vAlign w:val="center"/>
                </w:tcPr>
                <w:p w14:paraId="31D0C953">
                  <w:pPr>
                    <w:pStyle w:val="24"/>
                    <w:rPr>
                      <w:rFonts w:hint="default" w:ascii="Times New Roman" w:hAnsi="Times New Roman" w:cs="Times New Roman"/>
                    </w:rPr>
                  </w:pPr>
                </w:p>
              </w:tc>
              <w:tc>
                <w:tcPr>
                  <w:tcW w:w="1080" w:type="dxa"/>
                  <w:vMerge w:val="continue"/>
                  <w:tcBorders>
                    <w:left w:val="single" w:color="000000" w:sz="4" w:space="0"/>
                    <w:bottom w:val="single" w:color="auto" w:sz="4" w:space="0"/>
                    <w:right w:val="single" w:color="000000" w:sz="4" w:space="0"/>
                  </w:tcBorders>
                  <w:shd w:val="clear" w:color="auto" w:fill="FFFFFF"/>
                  <w:vAlign w:val="center"/>
                </w:tcPr>
                <w:p w14:paraId="219FA7CC">
                  <w:pPr>
                    <w:pStyle w:val="24"/>
                    <w:ind w:firstLine="0" w:firstLineChars="0"/>
                    <w:rPr>
                      <w:rFonts w:hint="default" w:ascii="Times New Roman" w:hAnsi="Times New Roman" w:cs="Times New Roman"/>
                    </w:rPr>
                  </w:pPr>
                </w:p>
              </w:tc>
              <w:tc>
                <w:tcPr>
                  <w:tcW w:w="1181" w:type="dxa"/>
                  <w:vMerge w:val="continue"/>
                  <w:tcBorders>
                    <w:left w:val="single" w:color="000000" w:sz="4" w:space="0"/>
                    <w:bottom w:val="single" w:color="auto" w:sz="4" w:space="0"/>
                    <w:right w:val="single" w:color="000000" w:sz="4" w:space="0"/>
                  </w:tcBorders>
                  <w:shd w:val="clear" w:color="auto" w:fill="FFFFFF"/>
                  <w:vAlign w:val="center"/>
                </w:tcPr>
                <w:p w14:paraId="53FC725F">
                  <w:pPr>
                    <w:pStyle w:val="24"/>
                    <w:ind w:firstLine="0" w:firstLineChars="0"/>
                    <w:rPr>
                      <w:rFonts w:hint="default" w:ascii="Times New Roman" w:hAnsi="Times New Roman" w:cs="Times New Roman"/>
                    </w:rPr>
                  </w:pPr>
                </w:p>
              </w:tc>
            </w:tr>
            <w:tr w14:paraId="22587D98">
              <w:tblPrEx>
                <w:tblCellMar>
                  <w:top w:w="0" w:type="dxa"/>
                  <w:left w:w="108" w:type="dxa"/>
                  <w:bottom w:w="0" w:type="dxa"/>
                  <w:right w:w="108" w:type="dxa"/>
                </w:tblCellMar>
              </w:tblPrEx>
              <w:tc>
                <w:tcPr>
                  <w:tcW w:w="876" w:type="dxa"/>
                  <w:vMerge w:val="restart"/>
                  <w:tcBorders>
                    <w:top w:val="single" w:color="000000" w:sz="4" w:space="0"/>
                    <w:left w:val="single" w:color="000000" w:sz="8" w:space="0"/>
                    <w:right w:val="single" w:color="auto" w:sz="4" w:space="0"/>
                  </w:tcBorders>
                  <w:shd w:val="clear" w:color="auto" w:fill="FFFFFF"/>
                  <w:vAlign w:val="center"/>
                </w:tcPr>
                <w:p w14:paraId="5DA40C94">
                  <w:pPr>
                    <w:pStyle w:val="24"/>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端面密封件</w:t>
                  </w:r>
                  <w:r>
                    <w:rPr>
                      <w:rFonts w:hint="default" w:ascii="Times New Roman" w:hAnsi="Times New Roman" w:cs="Times New Roman"/>
                      <w:lang w:val="en-US" w:eastAsia="zh-CN"/>
                    </w:rPr>
                    <w:t>生产线</w:t>
                  </w:r>
                </w:p>
              </w:tc>
              <w:tc>
                <w:tcPr>
                  <w:tcW w:w="1108" w:type="dxa"/>
                  <w:vMerge w:val="restart"/>
                  <w:tcBorders>
                    <w:top w:val="single" w:color="000000" w:sz="4" w:space="0"/>
                    <w:left w:val="single" w:color="auto" w:sz="4" w:space="0"/>
                    <w:right w:val="single" w:color="000000" w:sz="4" w:space="0"/>
                  </w:tcBorders>
                  <w:shd w:val="clear" w:color="auto" w:fill="FFFFFF"/>
                  <w:vAlign w:val="center"/>
                </w:tcPr>
                <w:p w14:paraId="32014A8C">
                  <w:pPr>
                    <w:pStyle w:val="24"/>
                    <w:rPr>
                      <w:rFonts w:hint="default" w:ascii="Times New Roman" w:hAnsi="Times New Roman" w:cs="Times New Roman"/>
                    </w:rPr>
                  </w:pPr>
                  <w:r>
                    <w:rPr>
                      <w:rFonts w:hint="default" w:ascii="Times New Roman" w:hAnsi="Times New Roman" w:cs="Times New Roman"/>
                    </w:rPr>
                    <w:t>机加工</w:t>
                  </w:r>
                </w:p>
              </w:tc>
              <w:tc>
                <w:tcPr>
                  <w:tcW w:w="1466"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4AA94D">
                  <w:pPr>
                    <w:pStyle w:val="24"/>
                    <w:rPr>
                      <w:rFonts w:hint="default" w:ascii="Times New Roman" w:hAnsi="Times New Roman" w:cs="Times New Roman"/>
                    </w:rPr>
                  </w:pPr>
                  <w:r>
                    <w:rPr>
                      <w:rFonts w:hint="default" w:ascii="Times New Roman" w:hAnsi="Times New Roman" w:cs="Times New Roman"/>
                    </w:rPr>
                    <w:t>1</w:t>
                  </w:r>
                </w:p>
              </w:tc>
              <w:tc>
                <w:tcPr>
                  <w:tcW w:w="26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688163C">
                  <w:pPr>
                    <w:pStyle w:val="24"/>
                    <w:bidi w:val="0"/>
                    <w:jc w:val="center"/>
                    <w:rPr>
                      <w:rFonts w:hint="default" w:ascii="Times New Roman" w:hAnsi="Times New Roman" w:cs="Times New Roman"/>
                      <w:lang w:val="en-US" w:eastAsia="zh-CN"/>
                    </w:rPr>
                  </w:pPr>
                  <w:r>
                    <w:rPr>
                      <w:rFonts w:hint="default" w:ascii="Times New Roman" w:hAnsi="Times New Roman" w:cs="Times New Roman"/>
                    </w:rPr>
                    <w:t>背面珩磨机</w:t>
                  </w:r>
                </w:p>
              </w:tc>
              <w:tc>
                <w:tcPr>
                  <w:tcW w:w="1080" w:type="dxa"/>
                  <w:tcBorders>
                    <w:top w:val="single" w:color="auto" w:sz="4" w:space="0"/>
                    <w:left w:val="single" w:color="000000" w:sz="4" w:space="0"/>
                    <w:bottom w:val="single" w:color="000000" w:sz="4" w:space="0"/>
                    <w:right w:val="single" w:color="auto" w:sz="4" w:space="0"/>
                  </w:tcBorders>
                  <w:shd w:val="clear" w:color="auto" w:fill="FFFFFF"/>
                  <w:noWrap/>
                  <w:vAlign w:val="center"/>
                </w:tcPr>
                <w:p w14:paraId="1709A2DC">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2</w:t>
                  </w:r>
                  <w:r>
                    <w:rPr>
                      <w:rFonts w:hint="eastAsia" w:ascii="Times New Roman" w:hAnsi="Times New Roman" w:cs="Times New Roman"/>
                      <w:lang w:val="en-US" w:eastAsia="zh-CN"/>
                    </w:rPr>
                    <w:t>台</w:t>
                  </w:r>
                </w:p>
              </w:tc>
              <w:tc>
                <w:tcPr>
                  <w:tcW w:w="1181" w:type="dxa"/>
                  <w:tcBorders>
                    <w:top w:val="single" w:color="auto" w:sz="4" w:space="0"/>
                    <w:left w:val="single" w:color="auto" w:sz="4" w:space="0"/>
                    <w:bottom w:val="single" w:color="000000" w:sz="4" w:space="0"/>
                    <w:right w:val="single" w:color="auto" w:sz="4" w:space="0"/>
                  </w:tcBorders>
                  <w:shd w:val="clear" w:color="auto" w:fill="FFFFFF"/>
                  <w:noWrap/>
                  <w:vAlign w:val="center"/>
                </w:tcPr>
                <w:p w14:paraId="4F558377">
                  <w:pPr>
                    <w:pStyle w:val="24"/>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w:t>
                  </w:r>
                  <w:r>
                    <w:rPr>
                      <w:rFonts w:hint="eastAsia" w:ascii="Times New Roman" w:hAnsi="Times New Roman" w:cs="Times New Roman"/>
                      <w:lang w:val="en-US" w:eastAsia="zh-CN"/>
                    </w:rPr>
                    <w:t>台</w:t>
                  </w:r>
                </w:p>
              </w:tc>
            </w:tr>
            <w:tr w14:paraId="5F56E99F">
              <w:tblPrEx>
                <w:tblCellMar>
                  <w:top w:w="0" w:type="dxa"/>
                  <w:left w:w="108" w:type="dxa"/>
                  <w:bottom w:w="0" w:type="dxa"/>
                  <w:right w:w="108" w:type="dxa"/>
                </w:tblCellMar>
              </w:tblPrEx>
              <w:tc>
                <w:tcPr>
                  <w:tcW w:w="876" w:type="dxa"/>
                  <w:vMerge w:val="continue"/>
                  <w:tcBorders>
                    <w:left w:val="single" w:color="000000" w:sz="8" w:space="0"/>
                    <w:right w:val="single" w:color="auto" w:sz="4" w:space="0"/>
                  </w:tcBorders>
                  <w:shd w:val="clear" w:color="auto" w:fill="FFFFFF"/>
                  <w:vAlign w:val="center"/>
                </w:tcPr>
                <w:p w14:paraId="554A40F4">
                  <w:pPr>
                    <w:pStyle w:val="24"/>
                    <w:rPr>
                      <w:rFonts w:hint="default" w:ascii="Times New Roman" w:hAnsi="Times New Roman" w:cs="Times New Roman"/>
                    </w:rPr>
                  </w:pPr>
                </w:p>
              </w:tc>
              <w:tc>
                <w:tcPr>
                  <w:tcW w:w="1108" w:type="dxa"/>
                  <w:vMerge w:val="continue"/>
                  <w:tcBorders>
                    <w:left w:val="single" w:color="auto" w:sz="4" w:space="0"/>
                    <w:right w:val="single" w:color="000000" w:sz="4" w:space="0"/>
                  </w:tcBorders>
                  <w:shd w:val="clear" w:color="auto" w:fill="FFFFFF"/>
                  <w:vAlign w:val="center"/>
                </w:tcPr>
                <w:p w14:paraId="619A0716">
                  <w:pPr>
                    <w:pStyle w:val="24"/>
                    <w:rPr>
                      <w:rFonts w:hint="default" w:ascii="Times New Roman" w:hAnsi="Times New Roman" w:cs="Times New Roman"/>
                    </w:rPr>
                  </w:pPr>
                </w:p>
              </w:tc>
              <w:tc>
                <w:tcPr>
                  <w:tcW w:w="1466"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D8DC72">
                  <w:pPr>
                    <w:pStyle w:val="24"/>
                    <w:rPr>
                      <w:rFonts w:hint="default" w:ascii="Times New Roman" w:hAnsi="Times New Roman" w:cs="Times New Roman"/>
                    </w:rPr>
                  </w:pPr>
                  <w:r>
                    <w:rPr>
                      <w:rFonts w:hint="default" w:ascii="Times New Roman" w:hAnsi="Times New Roman" w:cs="Times New Roman"/>
                    </w:rPr>
                    <w:t>2</w:t>
                  </w:r>
                </w:p>
              </w:tc>
              <w:tc>
                <w:tcPr>
                  <w:tcW w:w="2601" w:type="dxa"/>
                  <w:tcBorders>
                    <w:top w:val="single" w:color="000000" w:sz="4" w:space="0"/>
                    <w:left w:val="single" w:color="000000" w:sz="4" w:space="0"/>
                    <w:bottom w:val="single" w:color="000000" w:sz="4" w:space="0"/>
                    <w:right w:val="single" w:color="000000" w:sz="4" w:space="0"/>
                  </w:tcBorders>
                  <w:shd w:val="clear" w:color="auto" w:fill="FFFFFF"/>
                  <w:noWrap/>
                  <w:vAlign w:val="top"/>
                </w:tcPr>
                <w:p w14:paraId="1E7FD2C5">
                  <w:pPr>
                    <w:pStyle w:val="24"/>
                    <w:bidi w:val="0"/>
                    <w:rPr>
                      <w:rFonts w:hint="default" w:ascii="Times New Roman" w:hAnsi="Times New Roman" w:cs="Times New Roman"/>
                      <w:lang w:val="en-US" w:eastAsia="zh-CN"/>
                    </w:rPr>
                  </w:pPr>
                  <w:r>
                    <w:rPr>
                      <w:rFonts w:hint="default" w:ascii="Times New Roman" w:hAnsi="Times New Roman" w:cs="Times New Roman"/>
                    </w:rPr>
                    <w:t>精珩磨机</w:t>
                  </w:r>
                </w:p>
              </w:tc>
              <w:tc>
                <w:tcPr>
                  <w:tcW w:w="1080" w:type="dxa"/>
                  <w:tcBorders>
                    <w:top w:val="single" w:color="000000" w:sz="4" w:space="0"/>
                    <w:left w:val="single" w:color="000000" w:sz="4" w:space="0"/>
                    <w:bottom w:val="single" w:color="000000" w:sz="4" w:space="0"/>
                    <w:right w:val="single" w:color="auto" w:sz="4" w:space="0"/>
                  </w:tcBorders>
                  <w:shd w:val="clear" w:color="auto" w:fill="FFFFFF"/>
                  <w:noWrap/>
                  <w:vAlign w:val="center"/>
                </w:tcPr>
                <w:p w14:paraId="2773587A">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2</w:t>
                  </w:r>
                  <w:r>
                    <w:rPr>
                      <w:rFonts w:hint="eastAsia" w:ascii="Times New Roman" w:hAnsi="Times New Roman" w:cs="Times New Roman"/>
                      <w:lang w:val="en-US" w:eastAsia="zh-CN"/>
                    </w:rPr>
                    <w:t>台</w:t>
                  </w:r>
                </w:p>
              </w:tc>
              <w:tc>
                <w:tcPr>
                  <w:tcW w:w="1181" w:type="dxa"/>
                  <w:tcBorders>
                    <w:top w:val="single" w:color="000000" w:sz="4" w:space="0"/>
                    <w:left w:val="single" w:color="auto" w:sz="4" w:space="0"/>
                    <w:bottom w:val="single" w:color="000000" w:sz="4" w:space="0"/>
                    <w:right w:val="single" w:color="auto" w:sz="4" w:space="0"/>
                  </w:tcBorders>
                  <w:shd w:val="clear" w:color="auto" w:fill="FFFFFF"/>
                  <w:noWrap/>
                  <w:vAlign w:val="center"/>
                </w:tcPr>
                <w:p w14:paraId="4899C23A">
                  <w:pPr>
                    <w:pStyle w:val="24"/>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w:t>
                  </w:r>
                  <w:r>
                    <w:rPr>
                      <w:rFonts w:hint="eastAsia" w:ascii="Times New Roman" w:hAnsi="Times New Roman" w:cs="Times New Roman"/>
                      <w:lang w:val="en-US" w:eastAsia="zh-CN"/>
                    </w:rPr>
                    <w:t>台</w:t>
                  </w:r>
                </w:p>
              </w:tc>
            </w:tr>
            <w:tr w14:paraId="50CF4E24">
              <w:tblPrEx>
                <w:tblCellMar>
                  <w:top w:w="0" w:type="dxa"/>
                  <w:left w:w="108" w:type="dxa"/>
                  <w:bottom w:w="0" w:type="dxa"/>
                  <w:right w:w="108" w:type="dxa"/>
                </w:tblCellMar>
              </w:tblPrEx>
              <w:tc>
                <w:tcPr>
                  <w:tcW w:w="876" w:type="dxa"/>
                  <w:vMerge w:val="continue"/>
                  <w:tcBorders>
                    <w:left w:val="single" w:color="000000" w:sz="8" w:space="0"/>
                    <w:right w:val="single" w:color="auto" w:sz="4" w:space="0"/>
                  </w:tcBorders>
                  <w:shd w:val="clear" w:color="auto" w:fill="FFFFFF"/>
                  <w:vAlign w:val="center"/>
                </w:tcPr>
                <w:p w14:paraId="080DAD0B">
                  <w:pPr>
                    <w:pStyle w:val="24"/>
                    <w:rPr>
                      <w:rFonts w:hint="default" w:ascii="Times New Roman" w:hAnsi="Times New Roman" w:cs="Times New Roman"/>
                    </w:rPr>
                  </w:pPr>
                </w:p>
              </w:tc>
              <w:tc>
                <w:tcPr>
                  <w:tcW w:w="1108" w:type="dxa"/>
                  <w:vMerge w:val="continue"/>
                  <w:tcBorders>
                    <w:left w:val="single" w:color="auto" w:sz="4" w:space="0"/>
                    <w:right w:val="single" w:color="000000" w:sz="4" w:space="0"/>
                  </w:tcBorders>
                  <w:shd w:val="clear" w:color="auto" w:fill="FFFFFF"/>
                  <w:vAlign w:val="center"/>
                </w:tcPr>
                <w:p w14:paraId="47D5E59C">
                  <w:pPr>
                    <w:pStyle w:val="24"/>
                    <w:rPr>
                      <w:rFonts w:hint="default" w:ascii="Times New Roman" w:hAnsi="Times New Roman" w:cs="Times New Roman"/>
                    </w:rPr>
                  </w:pPr>
                </w:p>
              </w:tc>
              <w:tc>
                <w:tcPr>
                  <w:tcW w:w="1466"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7CAFF8">
                  <w:pPr>
                    <w:pStyle w:val="24"/>
                    <w:rPr>
                      <w:rFonts w:hint="default" w:ascii="Times New Roman" w:hAnsi="Times New Roman" w:cs="Times New Roman"/>
                    </w:rPr>
                  </w:pPr>
                  <w:r>
                    <w:rPr>
                      <w:rFonts w:hint="default" w:ascii="Times New Roman" w:hAnsi="Times New Roman" w:cs="Times New Roman"/>
                    </w:rPr>
                    <w:t>3</w:t>
                  </w:r>
                </w:p>
              </w:tc>
              <w:tc>
                <w:tcPr>
                  <w:tcW w:w="2601" w:type="dxa"/>
                  <w:tcBorders>
                    <w:top w:val="single" w:color="000000" w:sz="4" w:space="0"/>
                    <w:left w:val="single" w:color="000000" w:sz="4" w:space="0"/>
                    <w:bottom w:val="single" w:color="000000" w:sz="4" w:space="0"/>
                    <w:right w:val="single" w:color="000000" w:sz="4" w:space="0"/>
                  </w:tcBorders>
                  <w:shd w:val="clear" w:color="auto" w:fill="FFFFFF"/>
                  <w:noWrap/>
                  <w:vAlign w:val="top"/>
                </w:tcPr>
                <w:p w14:paraId="5909C95E">
                  <w:pPr>
                    <w:pStyle w:val="24"/>
                    <w:bidi w:val="0"/>
                    <w:rPr>
                      <w:rFonts w:hint="default" w:ascii="Times New Roman" w:hAnsi="Times New Roman" w:cs="Times New Roman"/>
                      <w:lang w:val="en-US" w:eastAsia="zh-CN"/>
                    </w:rPr>
                  </w:pPr>
                  <w:r>
                    <w:rPr>
                      <w:rFonts w:hint="default" w:ascii="Times New Roman" w:hAnsi="Times New Roman" w:cs="Times New Roman"/>
                    </w:rPr>
                    <w:t>外圆抛光机</w:t>
                  </w:r>
                </w:p>
              </w:tc>
              <w:tc>
                <w:tcPr>
                  <w:tcW w:w="1080" w:type="dxa"/>
                  <w:tcBorders>
                    <w:top w:val="single" w:color="000000" w:sz="4" w:space="0"/>
                    <w:left w:val="single" w:color="000000" w:sz="4" w:space="0"/>
                    <w:bottom w:val="single" w:color="000000" w:sz="4" w:space="0"/>
                    <w:right w:val="single" w:color="auto" w:sz="4" w:space="0"/>
                  </w:tcBorders>
                  <w:shd w:val="clear" w:color="auto" w:fill="FFFFFF"/>
                  <w:noWrap/>
                  <w:vAlign w:val="center"/>
                </w:tcPr>
                <w:p w14:paraId="46D3D5FA">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2</w:t>
                  </w:r>
                  <w:r>
                    <w:rPr>
                      <w:rFonts w:hint="eastAsia" w:ascii="Times New Roman" w:hAnsi="Times New Roman" w:cs="Times New Roman"/>
                      <w:lang w:val="en-US" w:eastAsia="zh-CN"/>
                    </w:rPr>
                    <w:t>台</w:t>
                  </w:r>
                </w:p>
              </w:tc>
              <w:tc>
                <w:tcPr>
                  <w:tcW w:w="1181" w:type="dxa"/>
                  <w:tcBorders>
                    <w:top w:val="single" w:color="000000" w:sz="4" w:space="0"/>
                    <w:left w:val="single" w:color="auto" w:sz="4" w:space="0"/>
                    <w:bottom w:val="single" w:color="000000" w:sz="4" w:space="0"/>
                    <w:right w:val="single" w:color="auto" w:sz="4" w:space="0"/>
                  </w:tcBorders>
                  <w:shd w:val="clear" w:color="auto" w:fill="FFFFFF"/>
                  <w:noWrap/>
                  <w:vAlign w:val="center"/>
                </w:tcPr>
                <w:p w14:paraId="7F516B2A">
                  <w:pPr>
                    <w:pStyle w:val="24"/>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w:t>
                  </w:r>
                  <w:r>
                    <w:rPr>
                      <w:rFonts w:hint="eastAsia" w:ascii="Times New Roman" w:hAnsi="Times New Roman" w:cs="Times New Roman"/>
                      <w:lang w:val="en-US" w:eastAsia="zh-CN"/>
                    </w:rPr>
                    <w:t>台</w:t>
                  </w:r>
                </w:p>
              </w:tc>
            </w:tr>
            <w:tr w14:paraId="3FE5503F">
              <w:tblPrEx>
                <w:tblCellMar>
                  <w:top w:w="0" w:type="dxa"/>
                  <w:left w:w="108" w:type="dxa"/>
                  <w:bottom w:w="0" w:type="dxa"/>
                  <w:right w:w="108" w:type="dxa"/>
                </w:tblCellMar>
              </w:tblPrEx>
              <w:tc>
                <w:tcPr>
                  <w:tcW w:w="876" w:type="dxa"/>
                  <w:vMerge w:val="continue"/>
                  <w:tcBorders>
                    <w:left w:val="single" w:color="000000" w:sz="8" w:space="0"/>
                    <w:right w:val="single" w:color="auto" w:sz="4" w:space="0"/>
                  </w:tcBorders>
                  <w:shd w:val="clear" w:color="auto" w:fill="FFFFFF"/>
                  <w:vAlign w:val="center"/>
                </w:tcPr>
                <w:p w14:paraId="256D1DEE">
                  <w:pPr>
                    <w:pStyle w:val="24"/>
                    <w:rPr>
                      <w:rFonts w:hint="default" w:ascii="Times New Roman" w:hAnsi="Times New Roman" w:cs="Times New Roman"/>
                    </w:rPr>
                  </w:pPr>
                </w:p>
              </w:tc>
              <w:tc>
                <w:tcPr>
                  <w:tcW w:w="1108" w:type="dxa"/>
                  <w:vMerge w:val="continue"/>
                  <w:tcBorders>
                    <w:left w:val="single" w:color="auto" w:sz="4" w:space="0"/>
                    <w:right w:val="single" w:color="000000" w:sz="4" w:space="0"/>
                  </w:tcBorders>
                  <w:shd w:val="clear" w:color="auto" w:fill="FFFFFF"/>
                  <w:vAlign w:val="center"/>
                </w:tcPr>
                <w:p w14:paraId="38F1DCE1">
                  <w:pPr>
                    <w:pStyle w:val="24"/>
                    <w:rPr>
                      <w:rFonts w:hint="default" w:ascii="Times New Roman" w:hAnsi="Times New Roman" w:cs="Times New Roman"/>
                    </w:rPr>
                  </w:pPr>
                </w:p>
              </w:tc>
              <w:tc>
                <w:tcPr>
                  <w:tcW w:w="1466"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1A0FC8">
                  <w:pPr>
                    <w:pStyle w:val="24"/>
                    <w:rPr>
                      <w:rFonts w:hint="default" w:ascii="Times New Roman" w:hAnsi="Times New Roman" w:cs="Times New Roman"/>
                    </w:rPr>
                  </w:pPr>
                  <w:r>
                    <w:rPr>
                      <w:rFonts w:hint="default" w:ascii="Times New Roman" w:hAnsi="Times New Roman" w:cs="Times New Roman"/>
                    </w:rPr>
                    <w:t>4</w:t>
                  </w:r>
                </w:p>
              </w:tc>
              <w:tc>
                <w:tcPr>
                  <w:tcW w:w="2601" w:type="dxa"/>
                  <w:tcBorders>
                    <w:top w:val="single" w:color="000000" w:sz="4" w:space="0"/>
                    <w:left w:val="single" w:color="000000" w:sz="4" w:space="0"/>
                    <w:bottom w:val="single" w:color="000000" w:sz="4" w:space="0"/>
                    <w:right w:val="single" w:color="000000" w:sz="4" w:space="0"/>
                  </w:tcBorders>
                  <w:shd w:val="clear" w:color="auto" w:fill="FFFFFF"/>
                  <w:noWrap/>
                  <w:vAlign w:val="top"/>
                </w:tcPr>
                <w:p w14:paraId="6990A38B">
                  <w:pPr>
                    <w:pStyle w:val="24"/>
                    <w:bidi w:val="0"/>
                    <w:rPr>
                      <w:rFonts w:hint="default" w:ascii="Times New Roman" w:hAnsi="Times New Roman" w:cs="Times New Roman"/>
                      <w:lang w:val="en-US" w:eastAsia="zh-CN"/>
                    </w:rPr>
                  </w:pPr>
                  <w:r>
                    <w:rPr>
                      <w:rFonts w:hint="default" w:ascii="Times New Roman" w:hAnsi="Times New Roman" w:cs="Times New Roman"/>
                    </w:rPr>
                    <w:t>梯面磨床</w:t>
                  </w:r>
                </w:p>
              </w:tc>
              <w:tc>
                <w:tcPr>
                  <w:tcW w:w="1080" w:type="dxa"/>
                  <w:tcBorders>
                    <w:top w:val="single" w:color="000000" w:sz="4" w:space="0"/>
                    <w:left w:val="single" w:color="000000" w:sz="4" w:space="0"/>
                    <w:bottom w:val="single" w:color="000000" w:sz="4" w:space="0"/>
                    <w:right w:val="single" w:color="auto" w:sz="4" w:space="0"/>
                  </w:tcBorders>
                  <w:shd w:val="clear" w:color="auto" w:fill="FFFFFF"/>
                  <w:noWrap/>
                  <w:vAlign w:val="center"/>
                </w:tcPr>
                <w:p w14:paraId="40454FAD">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4</w:t>
                  </w:r>
                  <w:r>
                    <w:rPr>
                      <w:rFonts w:hint="eastAsia" w:ascii="Times New Roman" w:hAnsi="Times New Roman" w:cs="Times New Roman"/>
                      <w:lang w:val="en-US" w:eastAsia="zh-CN"/>
                    </w:rPr>
                    <w:t>台</w:t>
                  </w:r>
                </w:p>
              </w:tc>
              <w:tc>
                <w:tcPr>
                  <w:tcW w:w="1181" w:type="dxa"/>
                  <w:tcBorders>
                    <w:top w:val="single" w:color="000000" w:sz="4" w:space="0"/>
                    <w:left w:val="single" w:color="auto" w:sz="4" w:space="0"/>
                    <w:bottom w:val="single" w:color="000000" w:sz="4" w:space="0"/>
                    <w:right w:val="single" w:color="auto" w:sz="4" w:space="0"/>
                  </w:tcBorders>
                  <w:shd w:val="clear" w:color="auto" w:fill="FFFFFF"/>
                  <w:noWrap/>
                  <w:vAlign w:val="center"/>
                </w:tcPr>
                <w:p w14:paraId="034BB64F">
                  <w:pPr>
                    <w:pStyle w:val="24"/>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w:t>
                  </w:r>
                  <w:r>
                    <w:rPr>
                      <w:rFonts w:hint="eastAsia" w:ascii="Times New Roman" w:hAnsi="Times New Roman" w:cs="Times New Roman"/>
                      <w:lang w:val="en-US" w:eastAsia="zh-CN"/>
                    </w:rPr>
                    <w:t>台</w:t>
                  </w:r>
                </w:p>
              </w:tc>
            </w:tr>
            <w:tr w14:paraId="61E2BFB9">
              <w:tblPrEx>
                <w:tblCellMar>
                  <w:top w:w="0" w:type="dxa"/>
                  <w:left w:w="108" w:type="dxa"/>
                  <w:bottom w:w="0" w:type="dxa"/>
                  <w:right w:w="108" w:type="dxa"/>
                </w:tblCellMar>
              </w:tblPrEx>
              <w:tc>
                <w:tcPr>
                  <w:tcW w:w="876" w:type="dxa"/>
                  <w:vMerge w:val="continue"/>
                  <w:tcBorders>
                    <w:left w:val="single" w:color="000000" w:sz="8" w:space="0"/>
                    <w:right w:val="single" w:color="auto" w:sz="4" w:space="0"/>
                  </w:tcBorders>
                  <w:shd w:val="clear" w:color="auto" w:fill="FFFFFF"/>
                  <w:vAlign w:val="center"/>
                </w:tcPr>
                <w:p w14:paraId="1BEBC201">
                  <w:pPr>
                    <w:pStyle w:val="24"/>
                    <w:rPr>
                      <w:rFonts w:hint="default" w:ascii="Times New Roman" w:hAnsi="Times New Roman" w:cs="Times New Roman"/>
                    </w:rPr>
                  </w:pPr>
                </w:p>
              </w:tc>
              <w:tc>
                <w:tcPr>
                  <w:tcW w:w="1108" w:type="dxa"/>
                  <w:vMerge w:val="continue"/>
                  <w:tcBorders>
                    <w:left w:val="single" w:color="auto" w:sz="4" w:space="0"/>
                    <w:right w:val="single" w:color="000000" w:sz="4" w:space="0"/>
                  </w:tcBorders>
                  <w:shd w:val="clear" w:color="auto" w:fill="FFFFFF"/>
                  <w:vAlign w:val="center"/>
                </w:tcPr>
                <w:p w14:paraId="02ED4E28">
                  <w:pPr>
                    <w:pStyle w:val="24"/>
                    <w:rPr>
                      <w:rFonts w:hint="default" w:ascii="Times New Roman" w:hAnsi="Times New Roman" w:cs="Times New Roman"/>
                    </w:rPr>
                  </w:pPr>
                </w:p>
              </w:tc>
              <w:tc>
                <w:tcPr>
                  <w:tcW w:w="1466"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BC3908">
                  <w:pPr>
                    <w:pStyle w:val="24"/>
                    <w:rPr>
                      <w:rFonts w:hint="default" w:ascii="Times New Roman" w:hAnsi="Times New Roman" w:cs="Times New Roman"/>
                    </w:rPr>
                  </w:pPr>
                  <w:r>
                    <w:rPr>
                      <w:rFonts w:hint="default" w:ascii="Times New Roman" w:hAnsi="Times New Roman" w:cs="Times New Roman"/>
                    </w:rPr>
                    <w:t>5</w:t>
                  </w:r>
                </w:p>
              </w:tc>
              <w:tc>
                <w:tcPr>
                  <w:tcW w:w="2601" w:type="dxa"/>
                  <w:tcBorders>
                    <w:top w:val="single" w:color="000000" w:sz="4" w:space="0"/>
                    <w:left w:val="single" w:color="000000" w:sz="4" w:space="0"/>
                    <w:bottom w:val="single" w:color="000000" w:sz="4" w:space="0"/>
                    <w:right w:val="single" w:color="000000" w:sz="4" w:space="0"/>
                  </w:tcBorders>
                  <w:shd w:val="clear" w:color="auto" w:fill="FFFFFF"/>
                  <w:noWrap/>
                  <w:vAlign w:val="top"/>
                </w:tcPr>
                <w:p w14:paraId="64C6680D">
                  <w:pPr>
                    <w:pStyle w:val="24"/>
                    <w:bidi w:val="0"/>
                    <w:rPr>
                      <w:rFonts w:hint="default" w:ascii="Times New Roman" w:hAnsi="Times New Roman" w:cs="Times New Roman"/>
                      <w:lang w:val="en-US" w:eastAsia="zh-CN"/>
                    </w:rPr>
                  </w:pPr>
                  <w:r>
                    <w:rPr>
                      <w:rFonts w:hint="default" w:ascii="Times New Roman" w:hAnsi="Times New Roman" w:cs="Times New Roman"/>
                    </w:rPr>
                    <w:t>自动车床</w:t>
                  </w:r>
                </w:p>
              </w:tc>
              <w:tc>
                <w:tcPr>
                  <w:tcW w:w="1080" w:type="dxa"/>
                  <w:tcBorders>
                    <w:top w:val="single" w:color="000000" w:sz="4" w:space="0"/>
                    <w:left w:val="single" w:color="000000" w:sz="4" w:space="0"/>
                    <w:bottom w:val="single" w:color="000000" w:sz="4" w:space="0"/>
                    <w:right w:val="single" w:color="auto" w:sz="4" w:space="0"/>
                  </w:tcBorders>
                  <w:shd w:val="clear" w:color="auto" w:fill="FFFFFF"/>
                  <w:noWrap/>
                  <w:vAlign w:val="center"/>
                </w:tcPr>
                <w:p w14:paraId="5DDF16B1">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10</w:t>
                  </w:r>
                  <w:r>
                    <w:rPr>
                      <w:rFonts w:hint="eastAsia" w:ascii="Times New Roman" w:hAnsi="Times New Roman" w:cs="Times New Roman"/>
                      <w:lang w:val="en-US" w:eastAsia="zh-CN"/>
                    </w:rPr>
                    <w:t>台</w:t>
                  </w:r>
                </w:p>
              </w:tc>
              <w:tc>
                <w:tcPr>
                  <w:tcW w:w="1181" w:type="dxa"/>
                  <w:tcBorders>
                    <w:top w:val="single" w:color="000000" w:sz="4" w:space="0"/>
                    <w:left w:val="single" w:color="auto" w:sz="4" w:space="0"/>
                    <w:bottom w:val="single" w:color="000000" w:sz="4" w:space="0"/>
                    <w:right w:val="single" w:color="auto" w:sz="4" w:space="0"/>
                  </w:tcBorders>
                  <w:shd w:val="clear" w:color="auto" w:fill="FFFFFF"/>
                  <w:noWrap/>
                  <w:vAlign w:val="center"/>
                </w:tcPr>
                <w:p w14:paraId="6E5D1E45">
                  <w:pPr>
                    <w:pStyle w:val="24"/>
                    <w:rPr>
                      <w:rFonts w:hint="default" w:ascii="Times New Roman" w:hAnsi="Times New Roman" w:eastAsia="宋体" w:cs="Times New Roman"/>
                      <w:lang w:val="en-US" w:eastAsia="zh-CN"/>
                    </w:rPr>
                  </w:pPr>
                  <w:r>
                    <w:rPr>
                      <w:rFonts w:hint="eastAsia" w:cs="Times New Roman"/>
                      <w:lang w:val="en-US" w:eastAsia="zh-CN"/>
                    </w:rPr>
                    <w:t>1</w:t>
                  </w:r>
                  <w:r>
                    <w:rPr>
                      <w:rFonts w:hint="eastAsia" w:ascii="Times New Roman" w:hAnsi="Times New Roman" w:cs="Times New Roman"/>
                      <w:lang w:val="en-US" w:eastAsia="zh-CN"/>
                    </w:rPr>
                    <w:t>台</w:t>
                  </w:r>
                </w:p>
              </w:tc>
            </w:tr>
            <w:tr w14:paraId="1866945E">
              <w:tblPrEx>
                <w:tblCellMar>
                  <w:top w:w="0" w:type="dxa"/>
                  <w:left w:w="108" w:type="dxa"/>
                  <w:bottom w:w="0" w:type="dxa"/>
                  <w:right w:w="108" w:type="dxa"/>
                </w:tblCellMar>
              </w:tblPrEx>
              <w:trPr>
                <w:trHeight w:val="236" w:hRule="atLeast"/>
              </w:trPr>
              <w:tc>
                <w:tcPr>
                  <w:tcW w:w="876" w:type="dxa"/>
                  <w:vMerge w:val="continue"/>
                  <w:tcBorders>
                    <w:left w:val="single" w:color="000000" w:sz="8" w:space="0"/>
                    <w:right w:val="single" w:color="auto" w:sz="4" w:space="0"/>
                  </w:tcBorders>
                  <w:shd w:val="clear" w:color="auto" w:fill="FFFFFF"/>
                  <w:vAlign w:val="center"/>
                </w:tcPr>
                <w:p w14:paraId="5620282D">
                  <w:pPr>
                    <w:pStyle w:val="24"/>
                    <w:rPr>
                      <w:rFonts w:hint="default" w:ascii="Times New Roman" w:hAnsi="Times New Roman" w:cs="Times New Roman"/>
                    </w:rPr>
                  </w:pPr>
                </w:p>
              </w:tc>
              <w:tc>
                <w:tcPr>
                  <w:tcW w:w="1108" w:type="dxa"/>
                  <w:vMerge w:val="continue"/>
                  <w:tcBorders>
                    <w:left w:val="single" w:color="auto" w:sz="4" w:space="0"/>
                    <w:right w:val="single" w:color="000000" w:sz="4" w:space="0"/>
                  </w:tcBorders>
                  <w:shd w:val="clear" w:color="auto" w:fill="FFFFFF"/>
                  <w:vAlign w:val="center"/>
                </w:tcPr>
                <w:p w14:paraId="23F71897">
                  <w:pPr>
                    <w:pStyle w:val="24"/>
                    <w:rPr>
                      <w:rFonts w:hint="default" w:ascii="Times New Roman" w:hAnsi="Times New Roman" w:cs="Times New Roman"/>
                    </w:rPr>
                  </w:pPr>
                </w:p>
              </w:tc>
              <w:tc>
                <w:tcPr>
                  <w:tcW w:w="1466"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AD3205">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ascii="Times New Roman" w:hAnsi="Times New Roman" w:cs="Times New Roman"/>
                      <w:lang w:val="en-US" w:eastAsia="zh-CN"/>
                    </w:rPr>
                    <w:t>6</w:t>
                  </w:r>
                </w:p>
              </w:tc>
              <w:tc>
                <w:tcPr>
                  <w:tcW w:w="2601" w:type="dxa"/>
                  <w:tcBorders>
                    <w:top w:val="single" w:color="000000" w:sz="4" w:space="0"/>
                    <w:left w:val="single" w:color="000000" w:sz="4" w:space="0"/>
                    <w:bottom w:val="single" w:color="000000" w:sz="4" w:space="0"/>
                    <w:right w:val="single" w:color="000000" w:sz="4" w:space="0"/>
                  </w:tcBorders>
                  <w:shd w:val="clear" w:color="auto" w:fill="FFFFFF"/>
                  <w:noWrap/>
                  <w:vAlign w:val="top"/>
                </w:tcPr>
                <w:p w14:paraId="4789F417">
                  <w:pPr>
                    <w:pStyle w:val="24"/>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eastAsia="zh-CN"/>
                    </w:rPr>
                    <w:t>脱磁机</w:t>
                  </w:r>
                </w:p>
              </w:tc>
              <w:tc>
                <w:tcPr>
                  <w:tcW w:w="1080" w:type="dxa"/>
                  <w:vMerge w:val="restart"/>
                  <w:tcBorders>
                    <w:top w:val="single" w:color="000000" w:sz="4" w:space="0"/>
                    <w:left w:val="single" w:color="000000" w:sz="4" w:space="0"/>
                    <w:right w:val="single" w:color="auto" w:sz="4" w:space="0"/>
                  </w:tcBorders>
                  <w:shd w:val="clear" w:color="auto" w:fill="FFFFFF"/>
                  <w:noWrap/>
                  <w:vAlign w:val="center"/>
                </w:tcPr>
                <w:p w14:paraId="2E4E34BC">
                  <w:pPr>
                    <w:pStyle w:val="24"/>
                    <w:ind w:left="0" w:leftChars="0" w:right="0" w:rightChars="0" w:firstLine="0" w:firstLineChars="0"/>
                    <w:rPr>
                      <w:rFonts w:hint="default" w:ascii="Times New Roman" w:hAnsi="Times New Roman" w:cs="Times New Roman"/>
                      <w:lang w:val="en-US" w:eastAsia="zh-CN"/>
                    </w:rPr>
                  </w:pPr>
                  <w:r>
                    <w:rPr>
                      <w:rFonts w:hint="eastAsia" w:cs="Times New Roman"/>
                      <w:lang w:val="en-US" w:eastAsia="zh-CN"/>
                    </w:rPr>
                    <w:t>0</w:t>
                  </w:r>
                  <w:r>
                    <w:rPr>
                      <w:rFonts w:hint="eastAsia" w:ascii="Times New Roman" w:hAnsi="Times New Roman" w:cs="Times New Roman"/>
                      <w:lang w:val="en-US" w:eastAsia="zh-CN"/>
                    </w:rPr>
                    <w:t>台</w:t>
                  </w:r>
                  <w:r>
                    <w:rPr>
                      <w:rFonts w:hint="eastAsia" w:cs="Times New Roman"/>
                      <w:lang w:val="en-US" w:eastAsia="zh-CN"/>
                    </w:rPr>
                    <w:t>，依托现有</w:t>
                  </w:r>
                </w:p>
              </w:tc>
              <w:tc>
                <w:tcPr>
                  <w:tcW w:w="1181" w:type="dxa"/>
                  <w:vMerge w:val="restart"/>
                  <w:tcBorders>
                    <w:top w:val="single" w:color="000000" w:sz="4" w:space="0"/>
                    <w:left w:val="single" w:color="auto" w:sz="4" w:space="0"/>
                    <w:right w:val="single" w:color="auto" w:sz="4" w:space="0"/>
                  </w:tcBorders>
                  <w:shd w:val="clear" w:color="auto" w:fill="FFFFFF"/>
                  <w:noWrap/>
                  <w:vAlign w:val="center"/>
                </w:tcPr>
                <w:p w14:paraId="2718B7CE">
                  <w:pPr>
                    <w:pStyle w:val="24"/>
                    <w:rPr>
                      <w:rFonts w:hint="eastAsia" w:cs="Times New Roman"/>
                      <w:lang w:val="en-US" w:eastAsia="zh-CN"/>
                    </w:rPr>
                  </w:pPr>
                  <w:r>
                    <w:rPr>
                      <w:rFonts w:hint="eastAsia" w:cs="Times New Roman"/>
                      <w:lang w:val="en-US" w:eastAsia="zh-CN"/>
                    </w:rPr>
                    <w:t>0</w:t>
                  </w:r>
                  <w:r>
                    <w:rPr>
                      <w:rFonts w:hint="eastAsia" w:ascii="Times New Roman" w:hAnsi="Times New Roman" w:cs="Times New Roman"/>
                      <w:lang w:val="en-US" w:eastAsia="zh-CN"/>
                    </w:rPr>
                    <w:t>台</w:t>
                  </w:r>
                  <w:r>
                    <w:rPr>
                      <w:rFonts w:hint="eastAsia" w:cs="Times New Roman"/>
                      <w:lang w:val="en-US" w:eastAsia="zh-CN"/>
                    </w:rPr>
                    <w:t>，依托现有</w:t>
                  </w:r>
                </w:p>
              </w:tc>
            </w:tr>
            <w:tr w14:paraId="24AA18A3">
              <w:tblPrEx>
                <w:tblCellMar>
                  <w:top w:w="0" w:type="dxa"/>
                  <w:left w:w="108" w:type="dxa"/>
                  <w:bottom w:w="0" w:type="dxa"/>
                  <w:right w:w="108" w:type="dxa"/>
                </w:tblCellMar>
              </w:tblPrEx>
              <w:tc>
                <w:tcPr>
                  <w:tcW w:w="876" w:type="dxa"/>
                  <w:vMerge w:val="continue"/>
                  <w:tcBorders>
                    <w:left w:val="single" w:color="000000" w:sz="8" w:space="0"/>
                    <w:right w:val="single" w:color="auto" w:sz="4" w:space="0"/>
                  </w:tcBorders>
                  <w:shd w:val="clear" w:color="auto" w:fill="FFFFFF"/>
                  <w:vAlign w:val="center"/>
                </w:tcPr>
                <w:p w14:paraId="235E1188">
                  <w:pPr>
                    <w:pStyle w:val="24"/>
                    <w:rPr>
                      <w:rFonts w:hint="default" w:ascii="Times New Roman" w:hAnsi="Times New Roman" w:cs="Times New Roman"/>
                    </w:rPr>
                  </w:pPr>
                </w:p>
              </w:tc>
              <w:tc>
                <w:tcPr>
                  <w:tcW w:w="1108" w:type="dxa"/>
                  <w:vMerge w:val="continue"/>
                  <w:tcBorders>
                    <w:left w:val="single" w:color="auto" w:sz="4" w:space="0"/>
                    <w:right w:val="single" w:color="000000" w:sz="4" w:space="0"/>
                  </w:tcBorders>
                  <w:shd w:val="clear" w:color="auto" w:fill="FFFFFF"/>
                  <w:vAlign w:val="center"/>
                </w:tcPr>
                <w:p w14:paraId="0FAFE596">
                  <w:pPr>
                    <w:pStyle w:val="24"/>
                    <w:rPr>
                      <w:rFonts w:hint="default" w:ascii="Times New Roman" w:hAnsi="Times New Roman" w:cs="Times New Roman"/>
                    </w:rPr>
                  </w:pPr>
                </w:p>
              </w:tc>
              <w:tc>
                <w:tcPr>
                  <w:tcW w:w="1466"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E5DD1E">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ascii="Times New Roman" w:hAnsi="Times New Roman" w:cs="Times New Roman"/>
                      <w:lang w:val="en-US" w:eastAsia="zh-CN"/>
                    </w:rPr>
                    <w:t>7</w:t>
                  </w:r>
                </w:p>
              </w:tc>
              <w:tc>
                <w:tcPr>
                  <w:tcW w:w="2601" w:type="dxa"/>
                  <w:tcBorders>
                    <w:top w:val="single" w:color="000000" w:sz="4" w:space="0"/>
                    <w:left w:val="single" w:color="000000" w:sz="4" w:space="0"/>
                    <w:bottom w:val="single" w:color="000000" w:sz="4" w:space="0"/>
                    <w:right w:val="single" w:color="000000" w:sz="4" w:space="0"/>
                  </w:tcBorders>
                  <w:shd w:val="clear" w:color="auto" w:fill="FFFFFF"/>
                  <w:noWrap/>
                  <w:vAlign w:val="top"/>
                </w:tcPr>
                <w:p w14:paraId="1A878F84">
                  <w:pPr>
                    <w:pStyle w:val="24"/>
                    <w:bidi w:val="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成型磨床</w:t>
                  </w:r>
                </w:p>
              </w:tc>
              <w:tc>
                <w:tcPr>
                  <w:tcW w:w="1080" w:type="dxa"/>
                  <w:vMerge w:val="continue"/>
                  <w:tcBorders>
                    <w:left w:val="single" w:color="000000" w:sz="4" w:space="0"/>
                    <w:right w:val="single" w:color="auto" w:sz="4" w:space="0"/>
                  </w:tcBorders>
                  <w:shd w:val="clear" w:color="auto" w:fill="FFFFFF"/>
                  <w:noWrap/>
                  <w:vAlign w:val="center"/>
                </w:tcPr>
                <w:p w14:paraId="4A8DCDA7">
                  <w:pPr>
                    <w:pStyle w:val="24"/>
                    <w:ind w:left="0" w:leftChars="0" w:right="0" w:rightChars="0" w:firstLine="0" w:firstLineChars="0"/>
                    <w:rPr>
                      <w:rFonts w:hint="default" w:ascii="Times New Roman" w:hAnsi="Times New Roman" w:cs="Times New Roman"/>
                      <w:lang w:val="en-US" w:eastAsia="zh-CN"/>
                    </w:rPr>
                  </w:pPr>
                </w:p>
              </w:tc>
              <w:tc>
                <w:tcPr>
                  <w:tcW w:w="1181" w:type="dxa"/>
                  <w:vMerge w:val="continue"/>
                  <w:tcBorders>
                    <w:left w:val="single" w:color="auto" w:sz="4" w:space="0"/>
                    <w:right w:val="single" w:color="auto" w:sz="4" w:space="0"/>
                  </w:tcBorders>
                  <w:shd w:val="clear" w:color="auto" w:fill="FFFFFF"/>
                  <w:noWrap/>
                  <w:vAlign w:val="center"/>
                </w:tcPr>
                <w:p w14:paraId="219836E0">
                  <w:pPr>
                    <w:pStyle w:val="24"/>
                    <w:rPr>
                      <w:rFonts w:hint="eastAsia" w:cs="Times New Roman"/>
                      <w:lang w:val="en-US" w:eastAsia="zh-CN"/>
                    </w:rPr>
                  </w:pPr>
                </w:p>
              </w:tc>
            </w:tr>
            <w:tr w14:paraId="251E7A30">
              <w:tblPrEx>
                <w:tblCellMar>
                  <w:top w:w="0" w:type="dxa"/>
                  <w:left w:w="108" w:type="dxa"/>
                  <w:bottom w:w="0" w:type="dxa"/>
                  <w:right w:w="108" w:type="dxa"/>
                </w:tblCellMar>
              </w:tblPrEx>
              <w:tc>
                <w:tcPr>
                  <w:tcW w:w="876" w:type="dxa"/>
                  <w:vMerge w:val="continue"/>
                  <w:tcBorders>
                    <w:left w:val="single" w:color="000000" w:sz="8" w:space="0"/>
                    <w:right w:val="single" w:color="auto" w:sz="4" w:space="0"/>
                  </w:tcBorders>
                  <w:shd w:val="clear" w:color="auto" w:fill="FFFFFF"/>
                  <w:vAlign w:val="center"/>
                </w:tcPr>
                <w:p w14:paraId="4CBF85F9">
                  <w:pPr>
                    <w:pStyle w:val="24"/>
                    <w:rPr>
                      <w:rFonts w:hint="default" w:ascii="Times New Roman" w:hAnsi="Times New Roman" w:cs="Times New Roman"/>
                    </w:rPr>
                  </w:pPr>
                </w:p>
              </w:tc>
              <w:tc>
                <w:tcPr>
                  <w:tcW w:w="1108" w:type="dxa"/>
                  <w:vMerge w:val="continue"/>
                  <w:tcBorders>
                    <w:left w:val="single" w:color="auto" w:sz="4" w:space="0"/>
                    <w:right w:val="single" w:color="000000" w:sz="4" w:space="0"/>
                  </w:tcBorders>
                  <w:shd w:val="clear" w:color="auto" w:fill="FFFFFF"/>
                  <w:vAlign w:val="center"/>
                </w:tcPr>
                <w:p w14:paraId="55609564">
                  <w:pPr>
                    <w:pStyle w:val="24"/>
                    <w:rPr>
                      <w:rFonts w:hint="default" w:ascii="Times New Roman" w:hAnsi="Times New Roman" w:cs="Times New Roman"/>
                    </w:rPr>
                  </w:pPr>
                </w:p>
              </w:tc>
              <w:tc>
                <w:tcPr>
                  <w:tcW w:w="1466"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3A07ED">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ascii="Times New Roman" w:hAnsi="Times New Roman" w:cs="Times New Roman"/>
                      <w:lang w:val="en-US" w:eastAsia="zh-CN"/>
                    </w:rPr>
                    <w:t>8</w:t>
                  </w:r>
                </w:p>
              </w:tc>
              <w:tc>
                <w:tcPr>
                  <w:tcW w:w="2601" w:type="dxa"/>
                  <w:tcBorders>
                    <w:top w:val="single" w:color="000000" w:sz="4" w:space="0"/>
                    <w:left w:val="single" w:color="000000" w:sz="4" w:space="0"/>
                    <w:bottom w:val="single" w:color="000000" w:sz="4" w:space="0"/>
                    <w:right w:val="single" w:color="000000" w:sz="4" w:space="0"/>
                  </w:tcBorders>
                  <w:shd w:val="clear" w:color="auto" w:fill="FFFFFF"/>
                  <w:noWrap/>
                  <w:vAlign w:val="top"/>
                </w:tcPr>
                <w:p w14:paraId="7D9792CB">
                  <w:pPr>
                    <w:pStyle w:val="24"/>
                    <w:bidi w:val="0"/>
                    <w:ind w:left="0" w:leftChars="0" w:right="0" w:rightChars="0" w:firstLine="0" w:firstLineChars="0"/>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kern w:val="0"/>
                      <w:sz w:val="21"/>
                      <w:szCs w:val="20"/>
                      <w:lang w:val="en-US" w:eastAsia="zh-CN" w:bidi="ar-SA"/>
                    </w:rPr>
                    <w:t>超声波清洗机</w:t>
                  </w:r>
                </w:p>
              </w:tc>
              <w:tc>
                <w:tcPr>
                  <w:tcW w:w="1080" w:type="dxa"/>
                  <w:vMerge w:val="continue"/>
                  <w:tcBorders>
                    <w:left w:val="single" w:color="000000" w:sz="4" w:space="0"/>
                    <w:bottom w:val="single" w:color="000000" w:sz="4" w:space="0"/>
                    <w:right w:val="single" w:color="auto" w:sz="4" w:space="0"/>
                  </w:tcBorders>
                  <w:shd w:val="clear" w:color="auto" w:fill="FFFFFF"/>
                  <w:noWrap/>
                  <w:vAlign w:val="center"/>
                </w:tcPr>
                <w:p w14:paraId="33F82134">
                  <w:pPr>
                    <w:pStyle w:val="24"/>
                    <w:ind w:left="0" w:leftChars="0" w:right="0" w:rightChars="0" w:firstLine="0" w:firstLineChars="0"/>
                    <w:rPr>
                      <w:rFonts w:hint="default" w:ascii="Times New Roman" w:hAnsi="Times New Roman" w:cs="Times New Roman"/>
                      <w:lang w:val="en-US" w:eastAsia="zh-CN"/>
                    </w:rPr>
                  </w:pPr>
                </w:p>
              </w:tc>
              <w:tc>
                <w:tcPr>
                  <w:tcW w:w="1181" w:type="dxa"/>
                  <w:vMerge w:val="continue"/>
                  <w:tcBorders>
                    <w:left w:val="single" w:color="auto" w:sz="4" w:space="0"/>
                    <w:bottom w:val="single" w:color="000000" w:sz="4" w:space="0"/>
                    <w:right w:val="single" w:color="auto" w:sz="4" w:space="0"/>
                  </w:tcBorders>
                  <w:shd w:val="clear" w:color="auto" w:fill="FFFFFF"/>
                  <w:noWrap/>
                  <w:vAlign w:val="center"/>
                </w:tcPr>
                <w:p w14:paraId="6E9370DA">
                  <w:pPr>
                    <w:pStyle w:val="24"/>
                    <w:rPr>
                      <w:rFonts w:hint="eastAsia" w:cs="Times New Roman"/>
                      <w:lang w:val="en-US" w:eastAsia="zh-CN"/>
                    </w:rPr>
                  </w:pPr>
                </w:p>
              </w:tc>
            </w:tr>
            <w:tr w14:paraId="6B2ABA46">
              <w:tblPrEx>
                <w:tblCellMar>
                  <w:top w:w="0" w:type="dxa"/>
                  <w:left w:w="108" w:type="dxa"/>
                  <w:bottom w:w="0" w:type="dxa"/>
                  <w:right w:w="108" w:type="dxa"/>
                </w:tblCellMar>
              </w:tblPrEx>
              <w:tc>
                <w:tcPr>
                  <w:tcW w:w="876" w:type="dxa"/>
                  <w:vMerge w:val="continue"/>
                  <w:tcBorders>
                    <w:left w:val="single" w:color="000000" w:sz="8" w:space="0"/>
                    <w:right w:val="single" w:color="auto" w:sz="4" w:space="0"/>
                  </w:tcBorders>
                  <w:shd w:val="clear" w:color="auto" w:fill="FFFFFF"/>
                  <w:vAlign w:val="center"/>
                </w:tcPr>
                <w:p w14:paraId="7D7A2778">
                  <w:pPr>
                    <w:pStyle w:val="24"/>
                    <w:rPr>
                      <w:rFonts w:hint="default" w:ascii="Times New Roman" w:hAnsi="Times New Roman" w:cs="Times New Roman"/>
                    </w:rPr>
                  </w:pPr>
                </w:p>
              </w:tc>
              <w:tc>
                <w:tcPr>
                  <w:tcW w:w="1108"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370BAC48">
                  <w:pPr>
                    <w:pStyle w:val="24"/>
                    <w:rPr>
                      <w:rFonts w:hint="default" w:ascii="Times New Roman" w:hAnsi="Times New Roman" w:cs="Times New Roman"/>
                    </w:rPr>
                  </w:pPr>
                  <w:r>
                    <w:rPr>
                      <w:rFonts w:hint="default" w:ascii="Times New Roman" w:hAnsi="Times New Roman" w:cs="Times New Roman"/>
                      <w:color w:val="000000"/>
                      <w:kern w:val="0"/>
                      <w:sz w:val="22"/>
                      <w:szCs w:val="22"/>
                      <w:lang w:bidi="ar"/>
                    </w:rPr>
                    <w:t>检查包装</w:t>
                  </w:r>
                </w:p>
              </w:tc>
              <w:tc>
                <w:tcPr>
                  <w:tcW w:w="1466"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0F881696">
                  <w:pPr>
                    <w:pStyle w:val="24"/>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ascii="Times New Roman" w:hAnsi="Times New Roman" w:cs="Times New Roman"/>
                      <w:lang w:val="en-US" w:eastAsia="zh-CN"/>
                    </w:rPr>
                    <w:t>9</w:t>
                  </w:r>
                </w:p>
              </w:tc>
              <w:tc>
                <w:tcPr>
                  <w:tcW w:w="2601" w:type="dxa"/>
                  <w:tcBorders>
                    <w:top w:val="single" w:color="000000" w:sz="4" w:space="0"/>
                    <w:left w:val="single" w:color="000000" w:sz="4" w:space="0"/>
                    <w:bottom w:val="single" w:color="000000" w:sz="4" w:space="0"/>
                    <w:right w:val="single" w:color="000000" w:sz="4" w:space="0"/>
                  </w:tcBorders>
                  <w:shd w:val="clear" w:color="auto" w:fill="FFFFFF"/>
                  <w:noWrap/>
                  <w:vAlign w:val="top"/>
                </w:tcPr>
                <w:p w14:paraId="2F702B51">
                  <w:pPr>
                    <w:pStyle w:val="24"/>
                    <w:bidi w:val="0"/>
                    <w:ind w:firstLine="0" w:firstLineChars="0"/>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rPr>
                    <w:t>自动外观检查机</w:t>
                  </w:r>
                </w:p>
              </w:tc>
              <w:tc>
                <w:tcPr>
                  <w:tcW w:w="1080" w:type="dxa"/>
                  <w:tcBorders>
                    <w:top w:val="single" w:color="000000" w:sz="4" w:space="0"/>
                    <w:left w:val="single" w:color="000000" w:sz="4" w:space="0"/>
                    <w:bottom w:val="single" w:color="000000" w:sz="4" w:space="0"/>
                    <w:right w:val="single" w:color="auto" w:sz="4" w:space="0"/>
                  </w:tcBorders>
                  <w:shd w:val="clear" w:color="auto" w:fill="FFFFFF"/>
                  <w:noWrap/>
                  <w:vAlign w:val="center"/>
                </w:tcPr>
                <w:p w14:paraId="51208B78">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1</w:t>
                  </w:r>
                  <w:r>
                    <w:rPr>
                      <w:rFonts w:hint="eastAsia" w:ascii="Times New Roman" w:hAnsi="Times New Roman" w:cs="Times New Roman"/>
                      <w:lang w:val="en-US" w:eastAsia="zh-CN"/>
                    </w:rPr>
                    <w:t>台</w:t>
                  </w:r>
                </w:p>
              </w:tc>
              <w:tc>
                <w:tcPr>
                  <w:tcW w:w="1181" w:type="dxa"/>
                  <w:tcBorders>
                    <w:top w:val="single" w:color="000000" w:sz="4" w:space="0"/>
                    <w:left w:val="single" w:color="auto" w:sz="4" w:space="0"/>
                    <w:bottom w:val="single" w:color="000000" w:sz="4" w:space="0"/>
                    <w:right w:val="single" w:color="auto" w:sz="4" w:space="0"/>
                  </w:tcBorders>
                  <w:shd w:val="clear" w:color="auto" w:fill="FFFFFF"/>
                  <w:noWrap/>
                  <w:vAlign w:val="center"/>
                </w:tcPr>
                <w:p w14:paraId="79DA12A3">
                  <w:pPr>
                    <w:pStyle w:val="24"/>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w:t>
                  </w:r>
                  <w:r>
                    <w:rPr>
                      <w:rFonts w:hint="eastAsia" w:ascii="Times New Roman" w:hAnsi="Times New Roman" w:cs="Times New Roman"/>
                      <w:lang w:val="en-US" w:eastAsia="zh-CN"/>
                    </w:rPr>
                    <w:t>台</w:t>
                  </w:r>
                </w:p>
              </w:tc>
            </w:tr>
            <w:tr w14:paraId="1CD903F5">
              <w:tblPrEx>
                <w:tblCellMar>
                  <w:top w:w="0" w:type="dxa"/>
                  <w:left w:w="108" w:type="dxa"/>
                  <w:bottom w:w="0" w:type="dxa"/>
                  <w:right w:w="108" w:type="dxa"/>
                </w:tblCellMar>
              </w:tblPrEx>
              <w:tc>
                <w:tcPr>
                  <w:tcW w:w="876" w:type="dxa"/>
                  <w:vMerge w:val="continue"/>
                  <w:tcBorders>
                    <w:left w:val="single" w:color="000000" w:sz="8" w:space="0"/>
                    <w:right w:val="single" w:color="auto" w:sz="4" w:space="0"/>
                  </w:tcBorders>
                  <w:shd w:val="clear" w:color="auto" w:fill="FFFFFF"/>
                  <w:vAlign w:val="center"/>
                </w:tcPr>
                <w:p w14:paraId="1789C9D9">
                  <w:pPr>
                    <w:pStyle w:val="24"/>
                    <w:rPr>
                      <w:rFonts w:hint="default" w:ascii="Times New Roman" w:hAnsi="Times New Roman" w:cs="Times New Roman"/>
                    </w:rPr>
                  </w:pPr>
                </w:p>
              </w:tc>
              <w:tc>
                <w:tcPr>
                  <w:tcW w:w="1108"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140F699">
                  <w:pPr>
                    <w:pStyle w:val="24"/>
                    <w:rPr>
                      <w:rFonts w:hint="default" w:ascii="Times New Roman" w:hAnsi="Times New Roman" w:cs="Times New Roman"/>
                    </w:rPr>
                  </w:pPr>
                </w:p>
              </w:tc>
              <w:tc>
                <w:tcPr>
                  <w:tcW w:w="1466"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070ED4FB">
                  <w:pPr>
                    <w:pStyle w:val="24"/>
                    <w:rPr>
                      <w:rFonts w:hint="default" w:ascii="Times New Roman" w:hAnsi="Times New Roman" w:eastAsia="宋体" w:cs="Times New Roman"/>
                      <w:lang w:val="en-US" w:eastAsia="zh-CN"/>
                    </w:rPr>
                  </w:pPr>
                  <w:r>
                    <w:rPr>
                      <w:rFonts w:hint="eastAsia" w:cs="Times New Roman"/>
                      <w:lang w:val="en-US" w:eastAsia="zh-CN"/>
                    </w:rPr>
                    <w:t>10</w:t>
                  </w:r>
                </w:p>
              </w:tc>
              <w:tc>
                <w:tcPr>
                  <w:tcW w:w="2601" w:type="dxa"/>
                  <w:tcBorders>
                    <w:top w:val="single" w:color="000000" w:sz="4" w:space="0"/>
                    <w:left w:val="single" w:color="000000" w:sz="4" w:space="0"/>
                    <w:bottom w:val="single" w:color="000000" w:sz="4" w:space="0"/>
                    <w:right w:val="single" w:color="000000" w:sz="4" w:space="0"/>
                  </w:tcBorders>
                  <w:shd w:val="clear" w:color="auto" w:fill="FFFFFF"/>
                  <w:noWrap/>
                  <w:vAlign w:val="top"/>
                </w:tcPr>
                <w:p w14:paraId="14F3FD73">
                  <w:pPr>
                    <w:pStyle w:val="24"/>
                    <w:bidi w:val="0"/>
                    <w:ind w:firstLine="0" w:firstLineChars="0"/>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rPr>
                    <w:t>自动包装机</w:t>
                  </w:r>
                </w:p>
              </w:tc>
              <w:tc>
                <w:tcPr>
                  <w:tcW w:w="1080" w:type="dxa"/>
                  <w:tcBorders>
                    <w:top w:val="single" w:color="000000" w:sz="4" w:space="0"/>
                    <w:left w:val="single" w:color="000000" w:sz="4" w:space="0"/>
                    <w:bottom w:val="single" w:color="000000" w:sz="4" w:space="0"/>
                    <w:right w:val="single" w:color="auto" w:sz="4" w:space="0"/>
                  </w:tcBorders>
                  <w:shd w:val="clear" w:color="auto" w:fill="FFFFFF"/>
                  <w:noWrap/>
                  <w:vAlign w:val="center"/>
                </w:tcPr>
                <w:p w14:paraId="0E565851">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1</w:t>
                  </w:r>
                  <w:r>
                    <w:rPr>
                      <w:rFonts w:hint="eastAsia" w:ascii="Times New Roman" w:hAnsi="Times New Roman" w:cs="Times New Roman"/>
                      <w:lang w:val="en-US" w:eastAsia="zh-CN"/>
                    </w:rPr>
                    <w:t>台</w:t>
                  </w:r>
                </w:p>
              </w:tc>
              <w:tc>
                <w:tcPr>
                  <w:tcW w:w="1181" w:type="dxa"/>
                  <w:tcBorders>
                    <w:top w:val="single" w:color="000000" w:sz="4" w:space="0"/>
                    <w:left w:val="single" w:color="auto" w:sz="4" w:space="0"/>
                    <w:bottom w:val="single" w:color="000000" w:sz="4" w:space="0"/>
                    <w:right w:val="single" w:color="auto" w:sz="4" w:space="0"/>
                  </w:tcBorders>
                  <w:shd w:val="clear" w:color="auto" w:fill="FFFFFF"/>
                  <w:noWrap/>
                  <w:vAlign w:val="center"/>
                </w:tcPr>
                <w:p w14:paraId="17E8EF32">
                  <w:pPr>
                    <w:pStyle w:val="24"/>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w:t>
                  </w:r>
                  <w:r>
                    <w:rPr>
                      <w:rFonts w:hint="eastAsia" w:ascii="Times New Roman" w:hAnsi="Times New Roman" w:cs="Times New Roman"/>
                      <w:lang w:val="en-US" w:eastAsia="zh-CN"/>
                    </w:rPr>
                    <w:t>台</w:t>
                  </w:r>
                </w:p>
              </w:tc>
            </w:tr>
            <w:tr w14:paraId="243E70CE">
              <w:tblPrEx>
                <w:tblCellMar>
                  <w:top w:w="0" w:type="dxa"/>
                  <w:left w:w="108" w:type="dxa"/>
                  <w:bottom w:w="0" w:type="dxa"/>
                  <w:right w:w="108" w:type="dxa"/>
                </w:tblCellMar>
              </w:tblPrEx>
              <w:tc>
                <w:tcPr>
                  <w:tcW w:w="876" w:type="dxa"/>
                  <w:vMerge w:val="continue"/>
                  <w:tcBorders>
                    <w:left w:val="single" w:color="000000" w:sz="8" w:space="0"/>
                    <w:right w:val="single" w:color="auto" w:sz="4" w:space="0"/>
                  </w:tcBorders>
                  <w:shd w:val="clear" w:color="auto" w:fill="FFFFFF"/>
                  <w:vAlign w:val="center"/>
                </w:tcPr>
                <w:p w14:paraId="145F8B48">
                  <w:pPr>
                    <w:pStyle w:val="24"/>
                    <w:rPr>
                      <w:rFonts w:hint="default" w:ascii="Times New Roman" w:hAnsi="Times New Roman" w:cs="Times New Roman"/>
                    </w:rPr>
                  </w:pPr>
                </w:p>
              </w:tc>
              <w:tc>
                <w:tcPr>
                  <w:tcW w:w="1108"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0CE2B6CB">
                  <w:pPr>
                    <w:pStyle w:val="24"/>
                    <w:rPr>
                      <w:rFonts w:hint="default" w:ascii="Times New Roman" w:hAnsi="Times New Roman" w:cs="Times New Roman"/>
                      <w:lang w:eastAsia="zh-CN"/>
                    </w:rPr>
                  </w:pPr>
                  <w:r>
                    <w:rPr>
                      <w:rFonts w:hint="default" w:ascii="Times New Roman" w:hAnsi="Times New Roman" w:cs="Times New Roman"/>
                      <w:lang w:eastAsia="zh-CN"/>
                    </w:rPr>
                    <w:t>智能化</w:t>
                  </w:r>
                </w:p>
                <w:p w14:paraId="78E3070F">
                  <w:pPr>
                    <w:pStyle w:val="24"/>
                    <w:rPr>
                      <w:rFonts w:hint="default" w:ascii="Times New Roman" w:hAnsi="Times New Roman" w:eastAsia="宋体" w:cs="Times New Roman"/>
                      <w:lang w:eastAsia="zh-CN"/>
                    </w:rPr>
                  </w:pPr>
                  <w:r>
                    <w:rPr>
                      <w:rFonts w:hint="default" w:ascii="Times New Roman" w:hAnsi="Times New Roman" w:cs="Times New Roman"/>
                      <w:lang w:eastAsia="zh-CN"/>
                    </w:rPr>
                    <w:t>系统</w:t>
                  </w:r>
                </w:p>
              </w:tc>
              <w:tc>
                <w:tcPr>
                  <w:tcW w:w="1466"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2502AE1E">
                  <w:pPr>
                    <w:pStyle w:val="24"/>
                    <w:rPr>
                      <w:rFonts w:hint="default" w:ascii="Times New Roman" w:hAnsi="Times New Roman" w:eastAsia="宋体" w:cs="Times New Roman"/>
                      <w:lang w:val="en-US" w:eastAsia="zh-CN"/>
                    </w:rPr>
                  </w:pPr>
                  <w:r>
                    <w:rPr>
                      <w:rFonts w:hint="eastAsia" w:cs="Times New Roman"/>
                      <w:lang w:val="en-US" w:eastAsia="zh-CN"/>
                    </w:rPr>
                    <w:t>11</w:t>
                  </w:r>
                </w:p>
              </w:tc>
              <w:tc>
                <w:tcPr>
                  <w:tcW w:w="2601" w:type="dxa"/>
                  <w:tcBorders>
                    <w:top w:val="single" w:color="000000" w:sz="4" w:space="0"/>
                    <w:left w:val="single" w:color="000000" w:sz="4" w:space="0"/>
                    <w:bottom w:val="nil"/>
                    <w:right w:val="single" w:color="000000" w:sz="4" w:space="0"/>
                  </w:tcBorders>
                  <w:shd w:val="clear" w:color="auto" w:fill="FFFFFF"/>
                  <w:noWrap/>
                  <w:vAlign w:val="top"/>
                </w:tcPr>
                <w:p w14:paraId="35F9AC14">
                  <w:pPr>
                    <w:pStyle w:val="24"/>
                    <w:bidi w:val="0"/>
                    <w:ind w:firstLine="0" w:firstLineChars="0"/>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rPr>
                    <w:t>智能仓储货柜系统</w:t>
                  </w:r>
                </w:p>
              </w:tc>
              <w:tc>
                <w:tcPr>
                  <w:tcW w:w="1080" w:type="dxa"/>
                  <w:tcBorders>
                    <w:top w:val="single" w:color="000000" w:sz="4" w:space="0"/>
                    <w:left w:val="single" w:color="000000" w:sz="4" w:space="0"/>
                    <w:bottom w:val="nil"/>
                    <w:right w:val="single" w:color="auto" w:sz="4" w:space="0"/>
                  </w:tcBorders>
                  <w:shd w:val="clear" w:color="auto" w:fill="FFFFFF"/>
                  <w:noWrap/>
                  <w:vAlign w:val="center"/>
                </w:tcPr>
                <w:p w14:paraId="5848F38B">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2</w:t>
                  </w:r>
                  <w:r>
                    <w:rPr>
                      <w:rFonts w:hint="eastAsia" w:ascii="Times New Roman" w:hAnsi="Times New Roman" w:cs="Times New Roman"/>
                      <w:lang w:val="en-US" w:eastAsia="zh-CN"/>
                    </w:rPr>
                    <w:t>套</w:t>
                  </w:r>
                </w:p>
              </w:tc>
              <w:tc>
                <w:tcPr>
                  <w:tcW w:w="1181" w:type="dxa"/>
                  <w:tcBorders>
                    <w:top w:val="single" w:color="000000" w:sz="4" w:space="0"/>
                    <w:left w:val="single" w:color="auto" w:sz="4" w:space="0"/>
                    <w:bottom w:val="nil"/>
                    <w:right w:val="single" w:color="auto" w:sz="4" w:space="0"/>
                  </w:tcBorders>
                  <w:shd w:val="clear" w:color="auto" w:fill="FFFFFF"/>
                  <w:noWrap/>
                  <w:vAlign w:val="center"/>
                </w:tcPr>
                <w:p w14:paraId="2497A15E">
                  <w:pPr>
                    <w:pStyle w:val="24"/>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2套</w:t>
                  </w:r>
                </w:p>
              </w:tc>
            </w:tr>
            <w:tr w14:paraId="5C4D00DE">
              <w:tblPrEx>
                <w:tblCellMar>
                  <w:top w:w="0" w:type="dxa"/>
                  <w:left w:w="108" w:type="dxa"/>
                  <w:bottom w:w="0" w:type="dxa"/>
                  <w:right w:w="108" w:type="dxa"/>
                </w:tblCellMar>
              </w:tblPrEx>
              <w:tc>
                <w:tcPr>
                  <w:tcW w:w="876" w:type="dxa"/>
                  <w:vMerge w:val="continue"/>
                  <w:tcBorders>
                    <w:left w:val="single" w:color="000000" w:sz="8" w:space="0"/>
                    <w:bottom w:val="single" w:color="auto" w:sz="4" w:space="0"/>
                    <w:right w:val="single" w:color="auto" w:sz="4" w:space="0"/>
                  </w:tcBorders>
                  <w:shd w:val="clear" w:color="auto" w:fill="FFFFFF"/>
                  <w:vAlign w:val="center"/>
                </w:tcPr>
                <w:p w14:paraId="0F4EFF80">
                  <w:pPr>
                    <w:pStyle w:val="24"/>
                    <w:rPr>
                      <w:rFonts w:hint="default" w:ascii="Times New Roman" w:hAnsi="Times New Roman" w:cs="Times New Roman"/>
                    </w:rPr>
                  </w:pPr>
                </w:p>
              </w:tc>
              <w:tc>
                <w:tcPr>
                  <w:tcW w:w="1108"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1055E83">
                  <w:pPr>
                    <w:pStyle w:val="24"/>
                    <w:rPr>
                      <w:rFonts w:hint="default" w:ascii="Times New Roman" w:hAnsi="Times New Roman" w:cs="Times New Roman"/>
                    </w:rPr>
                  </w:pPr>
                </w:p>
              </w:tc>
              <w:tc>
                <w:tcPr>
                  <w:tcW w:w="1466" w:type="dxa"/>
                  <w:tcBorders>
                    <w:top w:val="single" w:color="000000" w:sz="4" w:space="0"/>
                    <w:left w:val="single" w:color="auto" w:sz="4" w:space="0"/>
                    <w:bottom w:val="single" w:color="000000" w:sz="4" w:space="0"/>
                    <w:right w:val="single" w:color="000000" w:sz="4" w:space="0"/>
                  </w:tcBorders>
                  <w:shd w:val="clear" w:color="auto" w:fill="FFFFFF"/>
                  <w:noWrap/>
                  <w:vAlign w:val="center"/>
                </w:tcPr>
                <w:p w14:paraId="1FC3657A">
                  <w:pPr>
                    <w:pStyle w:val="24"/>
                    <w:rPr>
                      <w:rFonts w:hint="default" w:ascii="Times New Roman" w:hAnsi="Times New Roman" w:eastAsia="宋体" w:cs="Times New Roman"/>
                      <w:lang w:val="en-US" w:eastAsia="zh-CN"/>
                    </w:rPr>
                  </w:pPr>
                  <w:r>
                    <w:rPr>
                      <w:rFonts w:hint="eastAsia" w:cs="Times New Roman"/>
                      <w:lang w:val="en-US" w:eastAsia="zh-CN"/>
                    </w:rPr>
                    <w:t>12</w:t>
                  </w:r>
                </w:p>
              </w:tc>
              <w:tc>
                <w:tcPr>
                  <w:tcW w:w="2601" w:type="dxa"/>
                  <w:tcBorders>
                    <w:top w:val="single" w:color="000000" w:sz="4" w:space="0"/>
                    <w:left w:val="single" w:color="000000" w:sz="4" w:space="0"/>
                    <w:bottom w:val="single" w:color="000000" w:sz="4" w:space="0"/>
                    <w:right w:val="single" w:color="000000" w:sz="4" w:space="0"/>
                  </w:tcBorders>
                  <w:shd w:val="clear" w:color="auto" w:fill="FFFFFF"/>
                  <w:noWrap/>
                  <w:vAlign w:val="top"/>
                </w:tcPr>
                <w:p w14:paraId="383B93C6">
                  <w:pPr>
                    <w:pStyle w:val="24"/>
                    <w:bidi w:val="0"/>
                    <w:ind w:firstLine="0" w:firstLineChars="0"/>
                    <w:rPr>
                      <w:rFonts w:hint="default" w:ascii="Times New Roman" w:hAnsi="Times New Roman" w:eastAsia="宋体" w:cs="Times New Roman"/>
                      <w:kern w:val="0"/>
                      <w:sz w:val="21"/>
                      <w:szCs w:val="20"/>
                      <w:lang w:val="en-US" w:eastAsia="zh-CN" w:bidi="ar-SA"/>
                    </w:rPr>
                  </w:pPr>
                  <w:r>
                    <w:rPr>
                      <w:rFonts w:hint="default" w:ascii="Times New Roman" w:hAnsi="Times New Roman" w:cs="Times New Roman"/>
                    </w:rPr>
                    <w:t>数据自动采集系统</w:t>
                  </w:r>
                </w:p>
              </w:tc>
              <w:tc>
                <w:tcPr>
                  <w:tcW w:w="1080" w:type="dxa"/>
                  <w:tcBorders>
                    <w:top w:val="single" w:color="000000" w:sz="4" w:space="0"/>
                    <w:left w:val="single" w:color="000000" w:sz="4" w:space="0"/>
                    <w:bottom w:val="single" w:color="000000" w:sz="4" w:space="0"/>
                    <w:right w:val="single" w:color="auto" w:sz="4" w:space="0"/>
                  </w:tcBorders>
                  <w:shd w:val="clear" w:color="auto" w:fill="FFFFFF"/>
                  <w:noWrap/>
                  <w:vAlign w:val="center"/>
                </w:tcPr>
                <w:p w14:paraId="73E43C68">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1</w:t>
                  </w:r>
                  <w:r>
                    <w:rPr>
                      <w:rFonts w:hint="eastAsia" w:ascii="Times New Roman" w:hAnsi="Times New Roman" w:cs="Times New Roman"/>
                      <w:lang w:val="en-US" w:eastAsia="zh-CN"/>
                    </w:rPr>
                    <w:t>套</w:t>
                  </w:r>
                </w:p>
              </w:tc>
              <w:tc>
                <w:tcPr>
                  <w:tcW w:w="1181" w:type="dxa"/>
                  <w:tcBorders>
                    <w:top w:val="single" w:color="000000" w:sz="4" w:space="0"/>
                    <w:left w:val="single" w:color="auto" w:sz="4" w:space="0"/>
                    <w:bottom w:val="single" w:color="000000" w:sz="4" w:space="0"/>
                    <w:right w:val="single" w:color="auto" w:sz="4" w:space="0"/>
                  </w:tcBorders>
                  <w:shd w:val="clear" w:color="auto" w:fill="FFFFFF"/>
                  <w:noWrap/>
                  <w:vAlign w:val="center"/>
                </w:tcPr>
                <w:p w14:paraId="27A42B34">
                  <w:pPr>
                    <w:pStyle w:val="24"/>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1套</w:t>
                  </w:r>
                </w:p>
              </w:tc>
            </w:tr>
          </w:tbl>
          <w:p w14:paraId="6E9A9949">
            <w:pPr>
              <w:pStyle w:val="4"/>
              <w:suppressLineNumbers w:val="0"/>
              <w:bidi w:val="0"/>
              <w:spacing w:before="0" w:beforeAutospacing="0" w:after="0" w:afterAutospacing="0"/>
              <w:ind w:left="0" w:right="0"/>
              <w:rPr>
                <w:rFonts w:hint="default"/>
                <w:lang w:val="en-US"/>
              </w:rPr>
            </w:pPr>
            <w:r>
              <w:rPr>
                <w:rFonts w:hint="eastAsia"/>
                <w:lang w:val="en-US" w:eastAsia="zh-CN"/>
              </w:rPr>
              <w:t>2.1.5</w:t>
            </w:r>
            <w:r>
              <w:rPr>
                <w:rFonts w:hint="eastAsia"/>
                <w:lang w:eastAsia="zh-CN"/>
              </w:rPr>
              <w:t>产品方案</w:t>
            </w:r>
            <w:bookmarkEnd w:id="0"/>
          </w:p>
          <w:p w14:paraId="468C574D">
            <w:pPr>
              <w:keepNext w:val="0"/>
              <w:keepLines w:val="0"/>
              <w:suppressLineNumbers w:val="0"/>
              <w:spacing w:before="0" w:beforeAutospacing="0" w:after="0" w:afterAutospacing="0" w:line="360" w:lineRule="auto"/>
              <w:ind w:left="0" w:right="0" w:firstLine="480" w:firstLineChars="200"/>
              <w:rPr>
                <w:rFonts w:hint="default"/>
              </w:rPr>
            </w:pPr>
            <w:r>
              <w:rPr>
                <w:rFonts w:hint="eastAsia"/>
                <w:lang w:val="en-US" w:eastAsia="zh-CN"/>
              </w:rPr>
              <w:t>本次验收项目实施后主要产品方案汇总见下表。由表2.1-4、2.1-5可知，本次验收项目实施后实际生产阶段产能均达到环评阶段设计产能。</w:t>
            </w:r>
          </w:p>
          <w:p w14:paraId="3BE86732">
            <w:pPr>
              <w:keepNext w:val="0"/>
              <w:keepLines w:val="0"/>
              <w:suppressLineNumbers w:val="0"/>
              <w:spacing w:before="0" w:beforeAutospacing="0" w:after="0" w:afterAutospacing="0" w:line="360" w:lineRule="auto"/>
              <w:ind w:left="0" w:right="0"/>
              <w:jc w:val="center"/>
              <w:rPr>
                <w:rFonts w:hint="eastAsia"/>
              </w:rPr>
            </w:pPr>
            <w:r>
              <w:rPr>
                <w:rFonts w:hint="eastAsia"/>
                <w:b/>
                <w:bCs/>
                <w:lang w:val="en-US" w:eastAsia="zh-CN"/>
              </w:rPr>
              <w:t>表2.1-4 环评阶段主要产品方案及生产规模表</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839"/>
              <w:gridCol w:w="1372"/>
              <w:gridCol w:w="1941"/>
              <w:gridCol w:w="2069"/>
              <w:gridCol w:w="2081"/>
            </w:tblGrid>
            <w:tr w14:paraId="3F01A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jc w:val="center"/>
              </w:trPr>
              <w:tc>
                <w:tcPr>
                  <w:tcW w:w="839" w:type="dxa"/>
                  <w:tcBorders>
                    <w:top w:val="single" w:color="auto" w:sz="4" w:space="0"/>
                    <w:left w:val="single" w:color="auto" w:sz="4" w:space="0"/>
                    <w:bottom w:val="single" w:color="auto" w:sz="4" w:space="0"/>
                    <w:right w:val="single" w:color="auto" w:sz="4" w:space="0"/>
                  </w:tcBorders>
                  <w:shd w:val="clear" w:color="auto" w:fill="auto"/>
                  <w:vAlign w:val="center"/>
                </w:tcPr>
                <w:p w14:paraId="5D929296">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rPr>
                    <w:t>序号</w:t>
                  </w:r>
                </w:p>
              </w:tc>
              <w:tc>
                <w:tcPr>
                  <w:tcW w:w="1372" w:type="dxa"/>
                  <w:tcBorders>
                    <w:top w:val="single" w:color="auto" w:sz="4" w:space="0"/>
                    <w:left w:val="single" w:color="auto" w:sz="4" w:space="0"/>
                    <w:bottom w:val="single" w:color="auto" w:sz="4" w:space="0"/>
                    <w:right w:val="single" w:color="auto" w:sz="4" w:space="0"/>
                  </w:tcBorders>
                  <w:shd w:val="clear" w:color="auto" w:fill="auto"/>
                  <w:vAlign w:val="center"/>
                </w:tcPr>
                <w:p w14:paraId="4A110B45">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rPr>
                    <w:t>产品名称</w:t>
                  </w:r>
                </w:p>
              </w:tc>
              <w:tc>
                <w:tcPr>
                  <w:tcW w:w="1941" w:type="dxa"/>
                  <w:tcBorders>
                    <w:top w:val="single" w:color="auto" w:sz="4" w:space="0"/>
                    <w:left w:val="single" w:color="auto" w:sz="4" w:space="0"/>
                    <w:bottom w:val="single" w:color="auto" w:sz="4" w:space="0"/>
                    <w:right w:val="single" w:color="auto" w:sz="4" w:space="0"/>
                  </w:tcBorders>
                  <w:shd w:val="clear" w:color="auto" w:fill="auto"/>
                  <w:vAlign w:val="center"/>
                </w:tcPr>
                <w:p w14:paraId="26EB160C">
                  <w:pPr>
                    <w:pStyle w:val="24"/>
                    <w:keepNext w:val="0"/>
                    <w:keepLines w:val="0"/>
                    <w:suppressLineNumbers w:val="0"/>
                    <w:bidi w:val="0"/>
                    <w:spacing w:before="0" w:beforeAutospacing="0" w:after="0" w:afterAutospacing="0"/>
                    <w:ind w:left="0" w:right="0"/>
                    <w:rPr>
                      <w:rFonts w:hint="default"/>
                    </w:rPr>
                  </w:pPr>
                  <w:r>
                    <w:rPr>
                      <w:rFonts w:hint="default"/>
                    </w:rPr>
                    <w:t>现有工程生产</w:t>
                  </w:r>
                </w:p>
                <w:p w14:paraId="031334C3">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rPr>
                    <w:t>规模</w:t>
                  </w:r>
                </w:p>
              </w:tc>
              <w:tc>
                <w:tcPr>
                  <w:tcW w:w="2069" w:type="dxa"/>
                  <w:tcBorders>
                    <w:top w:val="single" w:color="auto" w:sz="4" w:space="0"/>
                    <w:left w:val="single" w:color="auto" w:sz="4" w:space="0"/>
                    <w:bottom w:val="single" w:color="auto" w:sz="4" w:space="0"/>
                    <w:right w:val="single" w:color="auto" w:sz="4" w:space="0"/>
                  </w:tcBorders>
                  <w:shd w:val="clear" w:color="auto" w:fill="auto"/>
                  <w:vAlign w:val="center"/>
                </w:tcPr>
                <w:p w14:paraId="22FE87FD">
                  <w:pPr>
                    <w:pStyle w:val="24"/>
                    <w:keepNext w:val="0"/>
                    <w:keepLines w:val="0"/>
                    <w:suppressLineNumbers w:val="0"/>
                    <w:bidi w:val="0"/>
                    <w:spacing w:before="0" w:beforeAutospacing="0" w:after="0" w:afterAutospacing="0"/>
                    <w:ind w:left="0" w:right="0"/>
                    <w:rPr>
                      <w:rFonts w:hint="default"/>
                    </w:rPr>
                  </w:pPr>
                  <w:r>
                    <w:rPr>
                      <w:rFonts w:hint="default"/>
                    </w:rPr>
                    <w:t>本次工程生产</w:t>
                  </w:r>
                </w:p>
                <w:p w14:paraId="15180010">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rPr>
                    <w:t>规模</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14:paraId="0CDC4463">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rPr>
                    <w:t>本工程实施后全厂规模</w:t>
                  </w:r>
                </w:p>
              </w:tc>
            </w:tr>
            <w:tr w14:paraId="2BDBB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jc w:val="center"/>
              </w:trPr>
              <w:tc>
                <w:tcPr>
                  <w:tcW w:w="839" w:type="dxa"/>
                  <w:tcBorders>
                    <w:top w:val="single" w:color="auto" w:sz="4" w:space="0"/>
                    <w:left w:val="single" w:color="auto" w:sz="4" w:space="0"/>
                    <w:bottom w:val="single" w:color="auto" w:sz="4" w:space="0"/>
                    <w:right w:val="single" w:color="auto" w:sz="4" w:space="0"/>
                  </w:tcBorders>
                  <w:shd w:val="clear" w:color="auto" w:fill="auto"/>
                  <w:vAlign w:val="center"/>
                </w:tcPr>
                <w:p w14:paraId="26219901">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rPr>
                    <w:t>1</w:t>
                  </w:r>
                </w:p>
              </w:tc>
              <w:tc>
                <w:tcPr>
                  <w:tcW w:w="1372" w:type="dxa"/>
                  <w:tcBorders>
                    <w:top w:val="single" w:color="auto" w:sz="4" w:space="0"/>
                    <w:left w:val="single" w:color="auto" w:sz="4" w:space="0"/>
                    <w:bottom w:val="single" w:color="auto" w:sz="4" w:space="0"/>
                    <w:right w:val="single" w:color="auto" w:sz="4" w:space="0"/>
                  </w:tcBorders>
                  <w:shd w:val="clear" w:color="auto" w:fill="auto"/>
                  <w:vAlign w:val="center"/>
                </w:tcPr>
                <w:p w14:paraId="7E45ED5C">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ascii="Times New Roman" w:hAnsi="Times New Roman" w:cs="Times New Roman"/>
                      <w:szCs w:val="21"/>
                    </w:rPr>
                    <w:t>端面密封件</w:t>
                  </w:r>
                </w:p>
              </w:tc>
              <w:tc>
                <w:tcPr>
                  <w:tcW w:w="1941" w:type="dxa"/>
                  <w:tcBorders>
                    <w:top w:val="single" w:color="auto" w:sz="4" w:space="0"/>
                    <w:left w:val="single" w:color="auto" w:sz="4" w:space="0"/>
                    <w:bottom w:val="single" w:color="auto" w:sz="4" w:space="0"/>
                    <w:right w:val="single" w:color="auto" w:sz="4" w:space="0"/>
                  </w:tcBorders>
                  <w:shd w:val="clear" w:color="auto" w:fill="auto"/>
                  <w:vAlign w:val="center"/>
                </w:tcPr>
                <w:p w14:paraId="638E13B3">
                  <w:pPr>
                    <w:pStyle w:val="24"/>
                    <w:ind w:left="0" w:leftChars="0" w:right="0" w:rightChars="0" w:firstLine="0" w:firstLineChars="0"/>
                    <w:rPr>
                      <w:rFonts w:hint="default"/>
                      <w:lang w:val="en-US"/>
                    </w:rPr>
                  </w:pPr>
                  <w:r>
                    <w:rPr>
                      <w:rFonts w:hint="default" w:ascii="Times New Roman" w:hAnsi="Times New Roman" w:cs="Times New Roman"/>
                      <w:lang w:val="en-US" w:eastAsia="zh-CN"/>
                    </w:rPr>
                    <w:t>44</w:t>
                  </w:r>
                  <w:r>
                    <w:rPr>
                      <w:rFonts w:hint="default" w:ascii="Times New Roman" w:hAnsi="Times New Roman" w:cs="Times New Roman"/>
                    </w:rPr>
                    <w:t>万片/a</w:t>
                  </w:r>
                </w:p>
              </w:tc>
              <w:tc>
                <w:tcPr>
                  <w:tcW w:w="2069" w:type="dxa"/>
                  <w:tcBorders>
                    <w:top w:val="single" w:color="auto" w:sz="4" w:space="0"/>
                    <w:left w:val="single" w:color="auto" w:sz="4" w:space="0"/>
                    <w:bottom w:val="single" w:color="auto" w:sz="4" w:space="0"/>
                    <w:right w:val="single" w:color="auto" w:sz="4" w:space="0"/>
                  </w:tcBorders>
                  <w:shd w:val="clear" w:color="auto" w:fill="auto"/>
                  <w:vAlign w:val="center"/>
                </w:tcPr>
                <w:p w14:paraId="6A8E739D">
                  <w:pPr>
                    <w:pStyle w:val="24"/>
                    <w:ind w:left="0" w:leftChars="0" w:right="0" w:rightChars="0" w:firstLine="0" w:firstLineChars="0"/>
                    <w:rPr>
                      <w:rFonts w:hint="default"/>
                      <w:lang w:val="en-US"/>
                    </w:rPr>
                  </w:pPr>
                  <w:r>
                    <w:rPr>
                      <w:rFonts w:hint="default" w:ascii="Times New Roman" w:hAnsi="Times New Roman" w:cs="Times New Roman"/>
                      <w:lang w:val="en-US" w:eastAsia="zh-CN"/>
                    </w:rPr>
                    <w:t>196</w:t>
                  </w:r>
                  <w:r>
                    <w:rPr>
                      <w:rFonts w:hint="default" w:ascii="Times New Roman" w:hAnsi="Times New Roman" w:cs="Times New Roman"/>
                    </w:rPr>
                    <w:t>万片/a</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14:paraId="36B48684">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eastAsia"/>
                      <w:lang w:val="en-US" w:eastAsia="zh-CN"/>
                    </w:rPr>
                    <w:t>240</w:t>
                  </w:r>
                  <w:r>
                    <w:rPr>
                      <w:rFonts w:hint="default"/>
                    </w:rPr>
                    <w:t>万片/a</w:t>
                  </w:r>
                </w:p>
              </w:tc>
            </w:tr>
          </w:tbl>
          <w:p w14:paraId="6E6929CB">
            <w:pPr>
              <w:keepNext w:val="0"/>
              <w:keepLines w:val="0"/>
              <w:suppressLineNumbers w:val="0"/>
              <w:spacing w:before="0" w:beforeAutospacing="0" w:after="0" w:afterAutospacing="0" w:line="360" w:lineRule="auto"/>
              <w:ind w:left="0" w:right="0"/>
              <w:jc w:val="center"/>
              <w:rPr>
                <w:rFonts w:hint="eastAsia"/>
                <w:lang w:val="en-US" w:eastAsia="zh-CN"/>
              </w:rPr>
            </w:pPr>
            <w:r>
              <w:rPr>
                <w:rFonts w:hint="eastAsia"/>
                <w:b/>
                <w:bCs/>
                <w:lang w:val="en-US" w:eastAsia="zh-CN"/>
              </w:rPr>
              <w:t>表2.1-5 实际建设阶段主要产品方案及生产规模表</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839"/>
              <w:gridCol w:w="1372"/>
              <w:gridCol w:w="1941"/>
              <w:gridCol w:w="2069"/>
              <w:gridCol w:w="2081"/>
            </w:tblGrid>
            <w:tr w14:paraId="12346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jc w:val="center"/>
              </w:trPr>
              <w:tc>
                <w:tcPr>
                  <w:tcW w:w="839" w:type="dxa"/>
                  <w:tcBorders>
                    <w:top w:val="single" w:color="auto" w:sz="4" w:space="0"/>
                    <w:left w:val="single" w:color="auto" w:sz="4" w:space="0"/>
                    <w:bottom w:val="single" w:color="auto" w:sz="4" w:space="0"/>
                    <w:right w:val="single" w:color="auto" w:sz="4" w:space="0"/>
                  </w:tcBorders>
                  <w:shd w:val="clear" w:color="auto" w:fill="auto"/>
                  <w:vAlign w:val="center"/>
                </w:tcPr>
                <w:p w14:paraId="6A0070AC">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rPr>
                    <w:t>序号</w:t>
                  </w:r>
                </w:p>
              </w:tc>
              <w:tc>
                <w:tcPr>
                  <w:tcW w:w="1372" w:type="dxa"/>
                  <w:tcBorders>
                    <w:top w:val="single" w:color="auto" w:sz="4" w:space="0"/>
                    <w:left w:val="single" w:color="auto" w:sz="4" w:space="0"/>
                    <w:bottom w:val="single" w:color="auto" w:sz="4" w:space="0"/>
                    <w:right w:val="single" w:color="auto" w:sz="4" w:space="0"/>
                  </w:tcBorders>
                  <w:shd w:val="clear" w:color="auto" w:fill="auto"/>
                  <w:vAlign w:val="center"/>
                </w:tcPr>
                <w:p w14:paraId="36FDFEEB">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rPr>
                    <w:t>产品名称</w:t>
                  </w:r>
                </w:p>
              </w:tc>
              <w:tc>
                <w:tcPr>
                  <w:tcW w:w="1941" w:type="dxa"/>
                  <w:tcBorders>
                    <w:top w:val="single" w:color="auto" w:sz="4" w:space="0"/>
                    <w:left w:val="single" w:color="auto" w:sz="4" w:space="0"/>
                    <w:bottom w:val="single" w:color="auto" w:sz="4" w:space="0"/>
                    <w:right w:val="single" w:color="auto" w:sz="4" w:space="0"/>
                  </w:tcBorders>
                  <w:shd w:val="clear" w:color="auto" w:fill="auto"/>
                  <w:vAlign w:val="center"/>
                </w:tcPr>
                <w:p w14:paraId="0176286B">
                  <w:pPr>
                    <w:pStyle w:val="24"/>
                    <w:keepNext w:val="0"/>
                    <w:keepLines w:val="0"/>
                    <w:suppressLineNumbers w:val="0"/>
                    <w:bidi w:val="0"/>
                    <w:spacing w:before="0" w:beforeAutospacing="0" w:after="0" w:afterAutospacing="0"/>
                    <w:ind w:left="0" w:right="0"/>
                    <w:rPr>
                      <w:rFonts w:hint="default"/>
                    </w:rPr>
                  </w:pPr>
                  <w:r>
                    <w:rPr>
                      <w:rFonts w:hint="default"/>
                    </w:rPr>
                    <w:t>现有工程生产</w:t>
                  </w:r>
                </w:p>
                <w:p w14:paraId="50BF370E">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rPr>
                    <w:t>规模</w:t>
                  </w:r>
                </w:p>
              </w:tc>
              <w:tc>
                <w:tcPr>
                  <w:tcW w:w="2069" w:type="dxa"/>
                  <w:tcBorders>
                    <w:top w:val="single" w:color="auto" w:sz="4" w:space="0"/>
                    <w:left w:val="single" w:color="auto" w:sz="4" w:space="0"/>
                    <w:bottom w:val="single" w:color="auto" w:sz="4" w:space="0"/>
                    <w:right w:val="single" w:color="auto" w:sz="4" w:space="0"/>
                  </w:tcBorders>
                  <w:shd w:val="clear" w:color="auto" w:fill="auto"/>
                  <w:vAlign w:val="center"/>
                </w:tcPr>
                <w:p w14:paraId="6CEF9CD8">
                  <w:pPr>
                    <w:pStyle w:val="24"/>
                    <w:keepNext w:val="0"/>
                    <w:keepLines w:val="0"/>
                    <w:suppressLineNumbers w:val="0"/>
                    <w:bidi w:val="0"/>
                    <w:spacing w:before="0" w:beforeAutospacing="0" w:after="0" w:afterAutospacing="0"/>
                    <w:ind w:left="0" w:right="0"/>
                    <w:rPr>
                      <w:rFonts w:hint="default"/>
                    </w:rPr>
                  </w:pPr>
                  <w:r>
                    <w:rPr>
                      <w:rFonts w:hint="default"/>
                    </w:rPr>
                    <w:t>本次工程生产</w:t>
                  </w:r>
                </w:p>
                <w:p w14:paraId="2B2D024D">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rPr>
                    <w:t>规模</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14:paraId="5A87B4A9">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rPr>
                    <w:t>本工程实施后全厂规模</w:t>
                  </w:r>
                </w:p>
              </w:tc>
            </w:tr>
            <w:tr w14:paraId="24218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jc w:val="center"/>
              </w:trPr>
              <w:tc>
                <w:tcPr>
                  <w:tcW w:w="839" w:type="dxa"/>
                  <w:tcBorders>
                    <w:top w:val="single" w:color="auto" w:sz="4" w:space="0"/>
                    <w:left w:val="single" w:color="auto" w:sz="4" w:space="0"/>
                    <w:bottom w:val="single" w:color="auto" w:sz="4" w:space="0"/>
                    <w:right w:val="single" w:color="auto" w:sz="4" w:space="0"/>
                  </w:tcBorders>
                  <w:shd w:val="clear" w:color="auto" w:fill="auto"/>
                  <w:vAlign w:val="center"/>
                </w:tcPr>
                <w:p w14:paraId="49F830A7">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rPr>
                    <w:t>1</w:t>
                  </w:r>
                </w:p>
              </w:tc>
              <w:tc>
                <w:tcPr>
                  <w:tcW w:w="1372" w:type="dxa"/>
                  <w:tcBorders>
                    <w:top w:val="single" w:color="auto" w:sz="4" w:space="0"/>
                    <w:left w:val="single" w:color="auto" w:sz="4" w:space="0"/>
                    <w:bottom w:val="single" w:color="auto" w:sz="4" w:space="0"/>
                    <w:right w:val="single" w:color="auto" w:sz="4" w:space="0"/>
                  </w:tcBorders>
                  <w:shd w:val="clear" w:color="auto" w:fill="auto"/>
                  <w:vAlign w:val="center"/>
                </w:tcPr>
                <w:p w14:paraId="61D1ADAA">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default" w:ascii="Times New Roman" w:hAnsi="Times New Roman" w:cs="Times New Roman"/>
                      <w:szCs w:val="21"/>
                    </w:rPr>
                    <w:t>端面密封件</w:t>
                  </w:r>
                </w:p>
              </w:tc>
              <w:tc>
                <w:tcPr>
                  <w:tcW w:w="1941" w:type="dxa"/>
                  <w:tcBorders>
                    <w:top w:val="single" w:color="auto" w:sz="4" w:space="0"/>
                    <w:left w:val="single" w:color="auto" w:sz="4" w:space="0"/>
                    <w:bottom w:val="single" w:color="auto" w:sz="4" w:space="0"/>
                    <w:right w:val="single" w:color="auto" w:sz="4" w:space="0"/>
                  </w:tcBorders>
                  <w:shd w:val="clear" w:color="auto" w:fill="auto"/>
                  <w:vAlign w:val="center"/>
                </w:tcPr>
                <w:p w14:paraId="4453F586">
                  <w:pPr>
                    <w:pStyle w:val="24"/>
                    <w:ind w:left="0" w:leftChars="0" w:right="0" w:rightChars="0" w:firstLine="0" w:firstLineChars="0"/>
                    <w:rPr>
                      <w:rFonts w:hint="default"/>
                      <w:lang w:val="en-US"/>
                    </w:rPr>
                  </w:pPr>
                  <w:r>
                    <w:rPr>
                      <w:rFonts w:hint="default" w:ascii="Times New Roman" w:hAnsi="Times New Roman" w:cs="Times New Roman"/>
                      <w:lang w:val="en-US" w:eastAsia="zh-CN"/>
                    </w:rPr>
                    <w:t>44</w:t>
                  </w:r>
                  <w:r>
                    <w:rPr>
                      <w:rFonts w:hint="default" w:ascii="Times New Roman" w:hAnsi="Times New Roman" w:cs="Times New Roman"/>
                    </w:rPr>
                    <w:t>万片/a</w:t>
                  </w:r>
                </w:p>
              </w:tc>
              <w:tc>
                <w:tcPr>
                  <w:tcW w:w="2069" w:type="dxa"/>
                  <w:tcBorders>
                    <w:top w:val="single" w:color="auto" w:sz="4" w:space="0"/>
                    <w:left w:val="single" w:color="auto" w:sz="4" w:space="0"/>
                    <w:bottom w:val="single" w:color="auto" w:sz="4" w:space="0"/>
                    <w:right w:val="single" w:color="auto" w:sz="4" w:space="0"/>
                  </w:tcBorders>
                  <w:shd w:val="clear" w:color="auto" w:fill="auto"/>
                  <w:vAlign w:val="center"/>
                </w:tcPr>
                <w:p w14:paraId="083CF5B3">
                  <w:pPr>
                    <w:pStyle w:val="24"/>
                    <w:ind w:left="0" w:leftChars="0" w:right="0" w:rightChars="0" w:firstLine="0" w:firstLineChars="0"/>
                    <w:rPr>
                      <w:rFonts w:hint="default"/>
                      <w:lang w:val="en-US"/>
                    </w:rPr>
                  </w:pPr>
                  <w:r>
                    <w:rPr>
                      <w:rFonts w:hint="default" w:ascii="Times New Roman" w:hAnsi="Times New Roman" w:cs="Times New Roman"/>
                      <w:lang w:val="en-US" w:eastAsia="zh-CN"/>
                    </w:rPr>
                    <w:t>196</w:t>
                  </w:r>
                  <w:r>
                    <w:rPr>
                      <w:rFonts w:hint="default" w:ascii="Times New Roman" w:hAnsi="Times New Roman" w:cs="Times New Roman"/>
                    </w:rPr>
                    <w:t>万片/a</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14:paraId="342091C6">
                  <w:pPr>
                    <w:pStyle w:val="24"/>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eastAsia"/>
                      <w:lang w:val="en-US" w:eastAsia="zh-CN"/>
                    </w:rPr>
                    <w:t>240</w:t>
                  </w:r>
                  <w:r>
                    <w:rPr>
                      <w:rFonts w:hint="default"/>
                    </w:rPr>
                    <w:t>万片/a</w:t>
                  </w:r>
                </w:p>
              </w:tc>
            </w:tr>
          </w:tbl>
          <w:p w14:paraId="31DFFD04">
            <w:pPr>
              <w:pStyle w:val="15"/>
              <w:widowControl/>
              <w:numPr>
                <w:ilvl w:val="0"/>
                <w:numId w:val="0"/>
              </w:numPr>
              <w:spacing w:line="360" w:lineRule="auto"/>
              <w:ind w:leftChars="0" w:right="0" w:rightChars="0"/>
              <w:rPr>
                <w:lang w:val="en-US"/>
              </w:rPr>
            </w:pPr>
            <w:r>
              <w:rPr>
                <w:rFonts w:hint="eastAsia"/>
                <w:lang w:eastAsia="zh-CN"/>
              </w:rPr>
              <w:t>注：项目产品不涉及铸造和电镀，项目外购铸件毛坯进行加工。</w:t>
            </w:r>
          </w:p>
          <w:p w14:paraId="6DBE8A41">
            <w:pPr>
              <w:pStyle w:val="4"/>
              <w:suppressLineNumbers w:val="0"/>
              <w:bidi w:val="0"/>
              <w:spacing w:before="0" w:beforeAutospacing="0" w:after="0" w:afterAutospacing="0"/>
              <w:ind w:left="0" w:right="0"/>
              <w:rPr>
                <w:rFonts w:hint="default"/>
              </w:rPr>
            </w:pPr>
            <w:r>
              <w:rPr>
                <w:rFonts w:hint="eastAsia"/>
              </w:rPr>
              <w:t>2.1.</w:t>
            </w:r>
            <w:r>
              <w:rPr>
                <w:rFonts w:hint="eastAsia"/>
                <w:lang w:val="en-US" w:eastAsia="zh-CN"/>
              </w:rPr>
              <w:t>6</w:t>
            </w:r>
            <w:r>
              <w:rPr>
                <w:rFonts w:hint="eastAsia"/>
              </w:rPr>
              <w:t>生产制度及劳动定员变更情况</w:t>
            </w:r>
          </w:p>
          <w:p w14:paraId="589AFD72">
            <w:pPr>
              <w:keepNext w:val="0"/>
              <w:keepLines w:val="0"/>
              <w:suppressLineNumbers w:val="0"/>
              <w:spacing w:before="0" w:beforeAutospacing="0" w:after="0" w:afterAutospacing="0" w:line="360" w:lineRule="auto"/>
              <w:ind w:left="0" w:right="0" w:firstLine="480" w:firstLineChars="200"/>
              <w:rPr>
                <w:rFonts w:hint="eastAsia"/>
                <w:lang w:val="en-US" w:eastAsia="zh-CN"/>
              </w:rPr>
            </w:pPr>
            <w:r>
              <w:rPr>
                <w:rFonts w:hint="eastAsia"/>
              </w:rPr>
              <w:t>本项目</w:t>
            </w:r>
            <w:r>
              <w:rPr>
                <w:rFonts w:hint="eastAsia"/>
                <w:lang w:val="en-US" w:eastAsia="zh-CN"/>
              </w:rPr>
              <w:t>环评中</w:t>
            </w:r>
            <w:r>
              <w:rPr>
                <w:rFonts w:hint="eastAsia"/>
              </w:rPr>
              <w:t>劳动人员为</w:t>
            </w:r>
            <w:r>
              <w:rPr>
                <w:rFonts w:hint="eastAsia"/>
                <w:lang w:val="en-US" w:eastAsia="zh-CN"/>
              </w:rPr>
              <w:t>14</w:t>
            </w:r>
            <w:r>
              <w:rPr>
                <w:rFonts w:hint="eastAsia"/>
              </w:rPr>
              <w:t>人，</w:t>
            </w:r>
            <w:r>
              <w:rPr>
                <w:rFonts w:hint="default" w:ascii="Times New Roman" w:hAnsi="Times New Roman" w:cs="Times New Roman"/>
                <w:lang w:eastAsia="zh-CN"/>
              </w:rPr>
              <w:t>二</w:t>
            </w:r>
            <w:r>
              <w:rPr>
                <w:rFonts w:hint="default" w:ascii="Times New Roman" w:hAnsi="Times New Roman" w:cs="Times New Roman"/>
              </w:rPr>
              <w:t>班制生产，每班</w:t>
            </w:r>
            <w:r>
              <w:rPr>
                <w:rFonts w:hint="default" w:ascii="Times New Roman" w:hAnsi="Times New Roman" w:cs="Times New Roman"/>
                <w:lang w:val="en-US" w:eastAsia="zh-CN"/>
              </w:rPr>
              <w:t>10</w:t>
            </w:r>
            <w:r>
              <w:rPr>
                <w:rFonts w:hint="default" w:ascii="Times New Roman" w:hAnsi="Times New Roman" w:cs="Times New Roman"/>
              </w:rPr>
              <w:t>小时，年生产天数为300天。</w:t>
            </w:r>
          </w:p>
          <w:p w14:paraId="358C7334">
            <w:pPr>
              <w:keepNext w:val="0"/>
              <w:keepLines w:val="0"/>
              <w:suppressLineNumbers w:val="0"/>
              <w:spacing w:before="0" w:beforeAutospacing="0" w:after="0" w:afterAutospacing="0" w:line="360" w:lineRule="auto"/>
              <w:ind w:left="0" w:right="0" w:firstLine="480" w:firstLineChars="200"/>
              <w:rPr>
                <w:rFonts w:hint="default"/>
                <w:lang w:val="en-US" w:eastAsia="zh-CN"/>
              </w:rPr>
            </w:pPr>
            <w:r>
              <w:rPr>
                <w:rFonts w:hint="eastAsia"/>
                <w:lang w:val="en-US" w:eastAsia="zh-CN"/>
              </w:rPr>
              <w:t>本项目实际生产中</w:t>
            </w:r>
            <w:r>
              <w:rPr>
                <w:rFonts w:hint="eastAsia"/>
              </w:rPr>
              <w:t>劳动人员为</w:t>
            </w:r>
            <w:r>
              <w:rPr>
                <w:rFonts w:hint="eastAsia"/>
                <w:lang w:val="en-US" w:eastAsia="zh-CN"/>
              </w:rPr>
              <w:t>14</w:t>
            </w:r>
            <w:r>
              <w:rPr>
                <w:rFonts w:hint="eastAsia"/>
              </w:rPr>
              <w:t>人，</w:t>
            </w:r>
            <w:r>
              <w:rPr>
                <w:rFonts w:hint="default" w:ascii="Times New Roman" w:hAnsi="Times New Roman" w:cs="Times New Roman"/>
                <w:lang w:eastAsia="zh-CN"/>
              </w:rPr>
              <w:t>二</w:t>
            </w:r>
            <w:r>
              <w:rPr>
                <w:rFonts w:hint="default" w:ascii="Times New Roman" w:hAnsi="Times New Roman" w:cs="Times New Roman"/>
              </w:rPr>
              <w:t>班制生产，每班</w:t>
            </w:r>
            <w:r>
              <w:rPr>
                <w:rFonts w:hint="default" w:ascii="Times New Roman" w:hAnsi="Times New Roman" w:cs="Times New Roman"/>
                <w:lang w:val="en-US" w:eastAsia="zh-CN"/>
              </w:rPr>
              <w:t>10</w:t>
            </w:r>
            <w:r>
              <w:rPr>
                <w:rFonts w:hint="default" w:ascii="Times New Roman" w:hAnsi="Times New Roman" w:cs="Times New Roman"/>
              </w:rPr>
              <w:t>小时，年生产天数为300天。</w:t>
            </w:r>
          </w:p>
          <w:p w14:paraId="5A3FC0A9">
            <w:pPr>
              <w:pStyle w:val="4"/>
              <w:suppressLineNumbers w:val="0"/>
              <w:bidi w:val="0"/>
              <w:spacing w:before="0" w:beforeAutospacing="0" w:after="0" w:afterAutospacing="0"/>
              <w:ind w:left="0" w:right="0"/>
              <w:rPr>
                <w:rFonts w:hint="default"/>
              </w:rPr>
            </w:pPr>
            <w:r>
              <w:rPr>
                <w:rFonts w:hint="eastAsia"/>
              </w:rPr>
              <w:t>2.1.</w:t>
            </w:r>
            <w:r>
              <w:rPr>
                <w:rFonts w:hint="eastAsia"/>
                <w:lang w:val="en-US" w:eastAsia="zh-CN"/>
              </w:rPr>
              <w:t>7</w:t>
            </w:r>
            <w:r>
              <w:rPr>
                <w:rFonts w:hint="eastAsia"/>
              </w:rPr>
              <w:t>项目地理位置</w:t>
            </w:r>
          </w:p>
          <w:p w14:paraId="31254211">
            <w:pPr>
              <w:keepNext w:val="0"/>
              <w:keepLines w:val="0"/>
              <w:suppressLineNumbers w:val="0"/>
              <w:spacing w:before="0" w:beforeAutospacing="0" w:after="0" w:afterAutospacing="0" w:line="360" w:lineRule="auto"/>
              <w:ind w:left="0" w:right="0" w:firstLine="480" w:firstLineChars="200"/>
              <w:rPr>
                <w:rFonts w:hint="default"/>
              </w:rPr>
            </w:pPr>
            <w:r>
              <w:rPr>
                <w:rFonts w:hint="eastAsia"/>
                <w:lang w:val="en-US" w:eastAsia="zh-CN"/>
              </w:rPr>
              <w:t>企业位于安徽省</w:t>
            </w:r>
            <w:r>
              <w:rPr>
                <w:rFonts w:hint="default" w:ascii="Times New Roman" w:hAnsi="Times New Roman" w:cs="Times New Roman"/>
              </w:rPr>
              <w:t>安庆集贤北路173号</w:t>
            </w:r>
            <w:r>
              <w:rPr>
                <w:rFonts w:hint="eastAsia"/>
                <w:lang w:val="en-US" w:eastAsia="zh-CN"/>
              </w:rPr>
              <w:t>，</w:t>
            </w:r>
            <w:r>
              <w:rPr>
                <w:rFonts w:hint="default" w:ascii="Times New Roman" w:hAnsi="Times New Roman" w:cs="Times New Roman"/>
                <w:bCs/>
                <w:snapToGrid w:val="0"/>
                <w:kern w:val="0"/>
                <w:sz w:val="24"/>
              </w:rPr>
              <w:t>二号厂厂界北侧距厂界10m为尚城花园南苑居住区，该居住区</w:t>
            </w:r>
            <w:r>
              <w:rPr>
                <w:rFonts w:hint="default" w:ascii="Times New Roman" w:hAnsi="Times New Roman" w:cs="Times New Roman"/>
                <w:bCs/>
                <w:sz w:val="24"/>
              </w:rPr>
              <w:t>距拟建项目生产车间1</w:t>
            </w:r>
            <w:r>
              <w:rPr>
                <w:rFonts w:hint="eastAsia" w:ascii="Times New Roman" w:hAnsi="Times New Roman" w:cs="Times New Roman"/>
                <w:bCs/>
                <w:sz w:val="24"/>
                <w:lang w:val="en-US" w:eastAsia="zh-CN"/>
              </w:rPr>
              <w:t>2</w:t>
            </w:r>
            <w:r>
              <w:rPr>
                <w:rFonts w:hint="default" w:ascii="Times New Roman" w:hAnsi="Times New Roman" w:cs="Times New Roman"/>
                <w:bCs/>
                <w:sz w:val="24"/>
              </w:rPr>
              <w:t>0m</w:t>
            </w:r>
            <w:r>
              <w:rPr>
                <w:rFonts w:hint="default" w:ascii="Times New Roman" w:hAnsi="Times New Roman" w:cs="Times New Roman"/>
                <w:bCs/>
                <w:snapToGrid w:val="0"/>
                <w:kern w:val="0"/>
                <w:sz w:val="24"/>
              </w:rPr>
              <w:t>，南侧为安庆环佳汽车服务有限公司，西侧为</w:t>
            </w:r>
            <w:r>
              <w:rPr>
                <w:rFonts w:hint="default" w:ascii="Times New Roman" w:hAnsi="Times New Roman" w:cs="Times New Roman"/>
                <w:bCs/>
                <w:snapToGrid w:val="0"/>
                <w:kern w:val="0"/>
                <w:sz w:val="24"/>
                <w:lang w:eastAsia="zh-CN"/>
              </w:rPr>
              <w:t>空地</w:t>
            </w:r>
            <w:r>
              <w:rPr>
                <w:rFonts w:hint="default" w:ascii="Times New Roman" w:hAnsi="Times New Roman" w:cs="Times New Roman"/>
                <w:bCs/>
                <w:snapToGrid w:val="0"/>
                <w:kern w:val="0"/>
                <w:sz w:val="24"/>
              </w:rPr>
              <w:t>（根据安庆市城市总体规划（2010</w:t>
            </w:r>
            <w:r>
              <w:rPr>
                <w:rFonts w:hint="default" w:ascii="Times New Roman" w:hAnsi="Times New Roman" w:eastAsia="微软雅黑" w:cs="Times New Roman"/>
                <w:bCs/>
                <w:snapToGrid w:val="0"/>
                <w:kern w:val="0"/>
                <w:sz w:val="24"/>
              </w:rPr>
              <w:t>~</w:t>
            </w:r>
            <w:r>
              <w:rPr>
                <w:rFonts w:hint="default" w:ascii="Times New Roman" w:hAnsi="Times New Roman" w:cs="Times New Roman"/>
                <w:bCs/>
                <w:snapToGrid w:val="0"/>
                <w:kern w:val="0"/>
                <w:sz w:val="24"/>
              </w:rPr>
              <w:t>2030），该地块为工业工地），东侧为集贤北路</w:t>
            </w:r>
            <w:r>
              <w:rPr>
                <w:rFonts w:hint="eastAsia" w:ascii="Times New Roman" w:hAnsi="Times New Roman" w:cs="Times New Roman"/>
                <w:bCs/>
                <w:snapToGrid w:val="0"/>
                <w:kern w:val="0"/>
                <w:sz w:val="24"/>
                <w:lang w:eastAsia="zh-CN"/>
              </w:rPr>
              <w:t>，隔路为五里墩居民</w:t>
            </w:r>
            <w:r>
              <w:rPr>
                <w:rFonts w:hint="eastAsia"/>
              </w:rPr>
              <w:t>。</w:t>
            </w:r>
          </w:p>
          <w:p w14:paraId="2AB89242">
            <w:pPr>
              <w:keepNext w:val="0"/>
              <w:keepLines w:val="0"/>
              <w:suppressLineNumbers w:val="0"/>
              <w:spacing w:before="0" w:beforeAutospacing="0" w:after="0" w:afterAutospacing="0" w:line="360" w:lineRule="auto"/>
              <w:ind w:left="0" w:right="0" w:firstLine="480" w:firstLineChars="200"/>
              <w:jc w:val="left"/>
              <w:rPr>
                <w:rFonts w:hint="default"/>
              </w:rPr>
            </w:pPr>
            <w:r>
              <w:rPr>
                <w:rFonts w:hint="eastAsia"/>
              </w:rPr>
              <w:t>主要环境敏感目标见</w:t>
            </w:r>
            <w:r>
              <w:rPr>
                <w:rFonts w:hint="eastAsia"/>
                <w:lang w:eastAsia="zh-CN"/>
              </w:rPr>
              <w:t>表</w:t>
            </w:r>
            <w:r>
              <w:rPr>
                <w:rFonts w:hint="eastAsia"/>
                <w:lang w:val="en-US" w:eastAsia="zh-CN"/>
              </w:rPr>
              <w:t>2.1-7，与环评阶段相比未发生改变</w:t>
            </w:r>
            <w:r>
              <w:rPr>
                <w:rFonts w:hint="eastAsia"/>
              </w:rPr>
              <w:t>：</w:t>
            </w:r>
          </w:p>
          <w:p w14:paraId="26FE4CC2">
            <w:pPr>
              <w:keepNext w:val="0"/>
              <w:keepLines w:val="0"/>
              <w:suppressLineNumbers w:val="0"/>
              <w:spacing w:before="0" w:beforeAutospacing="0" w:after="0" w:afterAutospacing="0" w:line="360" w:lineRule="auto"/>
              <w:ind w:left="0" w:right="0"/>
              <w:jc w:val="center"/>
              <w:rPr>
                <w:rFonts w:hint="default"/>
                <w:b/>
                <w:bCs/>
              </w:rPr>
            </w:pPr>
            <w:r>
              <w:rPr>
                <w:rFonts w:hint="default"/>
                <w:b/>
                <w:bCs/>
              </w:rPr>
              <w:t>表</w:t>
            </w:r>
            <w:r>
              <w:rPr>
                <w:rFonts w:hint="eastAsia"/>
                <w:b/>
                <w:bCs/>
              </w:rPr>
              <w:t>2</w:t>
            </w:r>
            <w:r>
              <w:rPr>
                <w:rFonts w:hint="eastAsia"/>
                <w:b/>
                <w:bCs/>
                <w:lang w:val="en-US" w:eastAsia="zh-CN"/>
              </w:rPr>
              <w:t xml:space="preserve">.1-6 </w:t>
            </w:r>
            <w:r>
              <w:rPr>
                <w:rFonts w:hint="default"/>
                <w:b/>
                <w:bCs/>
              </w:rPr>
              <w:t>项目主要环境保护目标一览表</w:t>
            </w:r>
          </w:p>
          <w:tbl>
            <w:tblPr>
              <w:tblStyle w:val="19"/>
              <w:tblW w:w="79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
              <w:gridCol w:w="1215"/>
              <w:gridCol w:w="1292"/>
              <w:gridCol w:w="796"/>
              <w:gridCol w:w="739"/>
              <w:gridCol w:w="957"/>
              <w:gridCol w:w="1016"/>
              <w:gridCol w:w="1133"/>
            </w:tblGrid>
            <w:tr w14:paraId="50453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829" w:type="dxa"/>
                  <w:vMerge w:val="restart"/>
                  <w:vAlign w:val="center"/>
                </w:tcPr>
                <w:p w14:paraId="20CE648F">
                  <w:pPr>
                    <w:pStyle w:val="24"/>
                    <w:bidi w:val="0"/>
                    <w:rPr>
                      <w:rFonts w:hint="default"/>
                    </w:rPr>
                  </w:pPr>
                  <w:r>
                    <w:rPr>
                      <w:rFonts w:hint="default"/>
                    </w:rPr>
                    <w:t>名称</w:t>
                  </w:r>
                </w:p>
              </w:tc>
              <w:tc>
                <w:tcPr>
                  <w:tcW w:w="2507" w:type="dxa"/>
                  <w:gridSpan w:val="2"/>
                  <w:vAlign w:val="center"/>
                </w:tcPr>
                <w:p w14:paraId="4BB4A733">
                  <w:pPr>
                    <w:pStyle w:val="24"/>
                    <w:bidi w:val="0"/>
                    <w:rPr>
                      <w:rFonts w:hint="default"/>
                    </w:rPr>
                  </w:pPr>
                  <w:r>
                    <w:rPr>
                      <w:rFonts w:hint="default"/>
                    </w:rPr>
                    <w:t>坐标（°）</w:t>
                  </w:r>
                </w:p>
              </w:tc>
              <w:tc>
                <w:tcPr>
                  <w:tcW w:w="796" w:type="dxa"/>
                  <w:vMerge w:val="restart"/>
                  <w:vAlign w:val="center"/>
                </w:tcPr>
                <w:p w14:paraId="681876B4">
                  <w:pPr>
                    <w:pStyle w:val="24"/>
                    <w:bidi w:val="0"/>
                    <w:rPr>
                      <w:rFonts w:hint="default"/>
                    </w:rPr>
                  </w:pPr>
                  <w:r>
                    <w:rPr>
                      <w:rFonts w:hint="default"/>
                    </w:rPr>
                    <w:t>保护</w:t>
                  </w:r>
                </w:p>
                <w:p w14:paraId="28153DCD">
                  <w:pPr>
                    <w:pStyle w:val="24"/>
                    <w:bidi w:val="0"/>
                    <w:rPr>
                      <w:rFonts w:hint="default"/>
                    </w:rPr>
                  </w:pPr>
                  <w:r>
                    <w:rPr>
                      <w:rFonts w:hint="default"/>
                    </w:rPr>
                    <w:t>对象</w:t>
                  </w:r>
                </w:p>
              </w:tc>
              <w:tc>
                <w:tcPr>
                  <w:tcW w:w="739" w:type="dxa"/>
                  <w:vMerge w:val="restart"/>
                  <w:vAlign w:val="center"/>
                </w:tcPr>
                <w:p w14:paraId="621CADF0">
                  <w:pPr>
                    <w:pStyle w:val="24"/>
                    <w:bidi w:val="0"/>
                    <w:rPr>
                      <w:rFonts w:hint="default"/>
                    </w:rPr>
                  </w:pPr>
                  <w:r>
                    <w:rPr>
                      <w:rFonts w:hint="default"/>
                    </w:rPr>
                    <w:t>保护</w:t>
                  </w:r>
                </w:p>
                <w:p w14:paraId="3C11DDE1">
                  <w:pPr>
                    <w:pStyle w:val="24"/>
                    <w:bidi w:val="0"/>
                    <w:rPr>
                      <w:rFonts w:hint="default"/>
                    </w:rPr>
                  </w:pPr>
                  <w:r>
                    <w:rPr>
                      <w:rFonts w:hint="default"/>
                    </w:rPr>
                    <w:t>内容</w:t>
                  </w:r>
                </w:p>
              </w:tc>
              <w:tc>
                <w:tcPr>
                  <w:tcW w:w="957" w:type="dxa"/>
                  <w:vMerge w:val="restart"/>
                  <w:vAlign w:val="center"/>
                </w:tcPr>
                <w:p w14:paraId="4C75E8F7">
                  <w:pPr>
                    <w:pStyle w:val="24"/>
                    <w:bidi w:val="0"/>
                    <w:rPr>
                      <w:rFonts w:hint="default"/>
                    </w:rPr>
                  </w:pPr>
                  <w:r>
                    <w:rPr>
                      <w:rFonts w:hint="default"/>
                    </w:rPr>
                    <w:t>环境功</w:t>
                  </w:r>
                </w:p>
                <w:p w14:paraId="52B24994">
                  <w:pPr>
                    <w:pStyle w:val="24"/>
                    <w:bidi w:val="0"/>
                    <w:rPr>
                      <w:rFonts w:hint="default"/>
                    </w:rPr>
                  </w:pPr>
                  <w:r>
                    <w:rPr>
                      <w:rFonts w:hint="default"/>
                    </w:rPr>
                    <w:t>能区</w:t>
                  </w:r>
                </w:p>
              </w:tc>
              <w:tc>
                <w:tcPr>
                  <w:tcW w:w="1016" w:type="dxa"/>
                  <w:vMerge w:val="restart"/>
                  <w:vAlign w:val="center"/>
                </w:tcPr>
                <w:p w14:paraId="4F8107FB">
                  <w:pPr>
                    <w:pStyle w:val="24"/>
                    <w:bidi w:val="0"/>
                    <w:rPr>
                      <w:rFonts w:hint="default"/>
                    </w:rPr>
                  </w:pPr>
                  <w:r>
                    <w:rPr>
                      <w:rFonts w:hint="default"/>
                    </w:rPr>
                    <w:t>相对厂址方位</w:t>
                  </w:r>
                </w:p>
              </w:tc>
              <w:tc>
                <w:tcPr>
                  <w:tcW w:w="1133" w:type="dxa"/>
                  <w:vMerge w:val="restart"/>
                  <w:vAlign w:val="center"/>
                </w:tcPr>
                <w:p w14:paraId="3609D8ED">
                  <w:pPr>
                    <w:pStyle w:val="24"/>
                    <w:bidi w:val="0"/>
                    <w:rPr>
                      <w:rFonts w:hint="default"/>
                    </w:rPr>
                  </w:pPr>
                  <w:r>
                    <w:rPr>
                      <w:rFonts w:hint="default"/>
                    </w:rPr>
                    <w:t>相对厂界距离（m）</w:t>
                  </w:r>
                </w:p>
              </w:tc>
            </w:tr>
            <w:tr w14:paraId="0C674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829" w:type="dxa"/>
                  <w:vMerge w:val="continue"/>
                  <w:vAlign w:val="center"/>
                </w:tcPr>
                <w:p w14:paraId="5FB48ED2">
                  <w:pPr>
                    <w:pStyle w:val="24"/>
                    <w:bidi w:val="0"/>
                    <w:rPr>
                      <w:rFonts w:hint="default"/>
                    </w:rPr>
                  </w:pPr>
                </w:p>
              </w:tc>
              <w:tc>
                <w:tcPr>
                  <w:tcW w:w="1215" w:type="dxa"/>
                  <w:vAlign w:val="center"/>
                </w:tcPr>
                <w:p w14:paraId="262D9934">
                  <w:pPr>
                    <w:pStyle w:val="24"/>
                    <w:bidi w:val="0"/>
                    <w:rPr>
                      <w:rFonts w:hint="default"/>
                    </w:rPr>
                  </w:pPr>
                  <w:r>
                    <w:rPr>
                      <w:rFonts w:hint="default"/>
                    </w:rPr>
                    <w:t>经度</w:t>
                  </w:r>
                </w:p>
              </w:tc>
              <w:tc>
                <w:tcPr>
                  <w:tcW w:w="1292" w:type="dxa"/>
                  <w:vAlign w:val="center"/>
                </w:tcPr>
                <w:p w14:paraId="1C81D06C">
                  <w:pPr>
                    <w:pStyle w:val="24"/>
                    <w:bidi w:val="0"/>
                    <w:rPr>
                      <w:rFonts w:hint="default"/>
                    </w:rPr>
                  </w:pPr>
                  <w:r>
                    <w:rPr>
                      <w:rFonts w:hint="default"/>
                    </w:rPr>
                    <w:t>纬度</w:t>
                  </w:r>
                </w:p>
              </w:tc>
              <w:tc>
                <w:tcPr>
                  <w:tcW w:w="796" w:type="dxa"/>
                  <w:vMerge w:val="continue"/>
                  <w:vAlign w:val="center"/>
                </w:tcPr>
                <w:p w14:paraId="51FCE281">
                  <w:pPr>
                    <w:pStyle w:val="24"/>
                    <w:bidi w:val="0"/>
                    <w:rPr>
                      <w:rFonts w:hint="default"/>
                    </w:rPr>
                  </w:pPr>
                </w:p>
              </w:tc>
              <w:tc>
                <w:tcPr>
                  <w:tcW w:w="739" w:type="dxa"/>
                  <w:vMerge w:val="continue"/>
                  <w:vAlign w:val="center"/>
                </w:tcPr>
                <w:p w14:paraId="4986B885">
                  <w:pPr>
                    <w:pStyle w:val="24"/>
                    <w:bidi w:val="0"/>
                    <w:rPr>
                      <w:rFonts w:hint="default"/>
                    </w:rPr>
                  </w:pPr>
                </w:p>
              </w:tc>
              <w:tc>
                <w:tcPr>
                  <w:tcW w:w="957" w:type="dxa"/>
                  <w:vMerge w:val="continue"/>
                  <w:vAlign w:val="center"/>
                </w:tcPr>
                <w:p w14:paraId="18139CFB">
                  <w:pPr>
                    <w:pStyle w:val="24"/>
                    <w:bidi w:val="0"/>
                    <w:rPr>
                      <w:rFonts w:hint="default"/>
                    </w:rPr>
                  </w:pPr>
                </w:p>
              </w:tc>
              <w:tc>
                <w:tcPr>
                  <w:tcW w:w="1016" w:type="dxa"/>
                  <w:vMerge w:val="continue"/>
                  <w:vAlign w:val="center"/>
                </w:tcPr>
                <w:p w14:paraId="23A1CC42">
                  <w:pPr>
                    <w:pStyle w:val="24"/>
                    <w:bidi w:val="0"/>
                    <w:rPr>
                      <w:rFonts w:hint="default"/>
                    </w:rPr>
                  </w:pPr>
                </w:p>
              </w:tc>
              <w:tc>
                <w:tcPr>
                  <w:tcW w:w="1133" w:type="dxa"/>
                  <w:vMerge w:val="continue"/>
                  <w:vAlign w:val="center"/>
                </w:tcPr>
                <w:p w14:paraId="5B5C5BF1">
                  <w:pPr>
                    <w:pStyle w:val="24"/>
                    <w:bidi w:val="0"/>
                    <w:rPr>
                      <w:rFonts w:hint="default"/>
                    </w:rPr>
                  </w:pPr>
                </w:p>
              </w:tc>
            </w:tr>
            <w:tr w14:paraId="462C0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29" w:type="dxa"/>
                  <w:vAlign w:val="center"/>
                </w:tcPr>
                <w:p w14:paraId="623BF109">
                  <w:pPr>
                    <w:pStyle w:val="24"/>
                    <w:bidi w:val="0"/>
                    <w:rPr>
                      <w:rFonts w:hint="default"/>
                      <w:lang w:val="en-US" w:eastAsia="zh-CN"/>
                    </w:rPr>
                  </w:pPr>
                  <w:r>
                    <w:rPr>
                      <w:rFonts w:hint="eastAsia"/>
                    </w:rPr>
                    <w:t>尚城花园南苑</w:t>
                  </w:r>
                </w:p>
              </w:tc>
              <w:tc>
                <w:tcPr>
                  <w:tcW w:w="1215" w:type="dxa"/>
                  <w:vAlign w:val="center"/>
                </w:tcPr>
                <w:p w14:paraId="4EF305AA">
                  <w:pPr>
                    <w:pStyle w:val="24"/>
                    <w:bidi w:val="0"/>
                    <w:rPr>
                      <w:rFonts w:hint="default"/>
                    </w:rPr>
                  </w:pPr>
                  <w:r>
                    <w:rPr>
                      <w:rFonts w:hint="eastAsia"/>
                    </w:rPr>
                    <w:t>117.029494680</w:t>
                  </w:r>
                </w:p>
              </w:tc>
              <w:tc>
                <w:tcPr>
                  <w:tcW w:w="1292" w:type="dxa"/>
                  <w:vAlign w:val="center"/>
                </w:tcPr>
                <w:p w14:paraId="58C29D8B">
                  <w:pPr>
                    <w:pStyle w:val="24"/>
                    <w:bidi w:val="0"/>
                    <w:rPr>
                      <w:rFonts w:hint="default"/>
                    </w:rPr>
                  </w:pPr>
                  <w:r>
                    <w:rPr>
                      <w:rFonts w:hint="eastAsia"/>
                    </w:rPr>
                    <w:t>30.545972539</w:t>
                  </w:r>
                </w:p>
              </w:tc>
              <w:tc>
                <w:tcPr>
                  <w:tcW w:w="796" w:type="dxa"/>
                  <w:vAlign w:val="center"/>
                </w:tcPr>
                <w:p w14:paraId="4F10E7C8">
                  <w:pPr>
                    <w:pStyle w:val="24"/>
                    <w:bidi w:val="0"/>
                    <w:rPr>
                      <w:rFonts w:hint="default"/>
                    </w:rPr>
                  </w:pPr>
                  <w:r>
                    <w:rPr>
                      <w:rFonts w:hint="default"/>
                    </w:rPr>
                    <w:t>居民点</w:t>
                  </w:r>
                </w:p>
              </w:tc>
              <w:tc>
                <w:tcPr>
                  <w:tcW w:w="739" w:type="dxa"/>
                  <w:vAlign w:val="center"/>
                </w:tcPr>
                <w:p w14:paraId="2B277475">
                  <w:pPr>
                    <w:pStyle w:val="24"/>
                    <w:bidi w:val="0"/>
                    <w:rPr>
                      <w:rFonts w:hint="default"/>
                      <w:lang w:val="en-US" w:eastAsia="zh-CN"/>
                    </w:rPr>
                  </w:pPr>
                  <w:r>
                    <w:rPr>
                      <w:rFonts w:hint="eastAsia"/>
                    </w:rPr>
                    <w:t>600</w:t>
                  </w:r>
                  <w:r>
                    <w:t>人</w:t>
                  </w:r>
                </w:p>
              </w:tc>
              <w:tc>
                <w:tcPr>
                  <w:tcW w:w="957" w:type="dxa"/>
                  <w:vMerge w:val="restart"/>
                  <w:vAlign w:val="center"/>
                </w:tcPr>
                <w:p w14:paraId="4B37277C">
                  <w:pPr>
                    <w:pStyle w:val="24"/>
                    <w:bidi w:val="0"/>
                    <w:rPr>
                      <w:rFonts w:hint="default"/>
                    </w:rPr>
                  </w:pPr>
                  <w:r>
                    <w:rPr>
                      <w:rFonts w:hint="default"/>
                    </w:rPr>
                    <w:t>《环境空气质量标准》(GB3095-2012)二级标准</w:t>
                  </w:r>
                </w:p>
              </w:tc>
              <w:tc>
                <w:tcPr>
                  <w:tcW w:w="1016" w:type="dxa"/>
                  <w:vAlign w:val="center"/>
                </w:tcPr>
                <w:p w14:paraId="4363B871">
                  <w:pPr>
                    <w:pStyle w:val="24"/>
                    <w:bidi w:val="0"/>
                    <w:rPr>
                      <w:rFonts w:hint="default"/>
                      <w:lang w:val="en-US" w:eastAsia="zh-CN"/>
                    </w:rPr>
                  </w:pPr>
                  <w:r>
                    <w:rPr>
                      <w:rFonts w:hint="eastAsia"/>
                    </w:rPr>
                    <w:t>N</w:t>
                  </w:r>
                </w:p>
              </w:tc>
              <w:tc>
                <w:tcPr>
                  <w:tcW w:w="1133" w:type="dxa"/>
                  <w:vAlign w:val="center"/>
                </w:tcPr>
                <w:p w14:paraId="26122A0B">
                  <w:pPr>
                    <w:pStyle w:val="24"/>
                    <w:bidi w:val="0"/>
                    <w:rPr>
                      <w:rFonts w:hint="default"/>
                      <w:lang w:val="en-US" w:eastAsia="zh-CN"/>
                    </w:rPr>
                  </w:pPr>
                  <w:r>
                    <w:rPr>
                      <w:rFonts w:hint="eastAsia"/>
                    </w:rPr>
                    <w:t>10m</w:t>
                  </w:r>
                  <w:r>
                    <w:rPr>
                      <w:rFonts w:hint="eastAsia"/>
                      <w:vertAlign w:val="superscript"/>
                    </w:rPr>
                    <w:t>【1】</w:t>
                  </w:r>
                </w:p>
              </w:tc>
            </w:tr>
            <w:tr w14:paraId="3E8BC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829" w:type="dxa"/>
                  <w:vAlign w:val="center"/>
                </w:tcPr>
                <w:p w14:paraId="5903F100">
                  <w:pPr>
                    <w:pStyle w:val="24"/>
                    <w:bidi w:val="0"/>
                    <w:rPr>
                      <w:rFonts w:hint="default"/>
                      <w:lang w:val="en-US" w:eastAsia="zh-CN"/>
                    </w:rPr>
                  </w:pPr>
                  <w:r>
                    <w:rPr>
                      <w:rFonts w:hint="eastAsia"/>
                    </w:rPr>
                    <w:t>五里墩</w:t>
                  </w:r>
                </w:p>
              </w:tc>
              <w:tc>
                <w:tcPr>
                  <w:tcW w:w="1215" w:type="dxa"/>
                  <w:vAlign w:val="center"/>
                </w:tcPr>
                <w:p w14:paraId="7FF9B61E">
                  <w:pPr>
                    <w:pStyle w:val="24"/>
                    <w:bidi w:val="0"/>
                    <w:rPr>
                      <w:rFonts w:hint="eastAsia"/>
                      <w:lang w:val="en-US" w:eastAsia="zh-CN"/>
                    </w:rPr>
                  </w:pPr>
                  <w:r>
                    <w:rPr>
                      <w:rFonts w:hint="eastAsia"/>
                    </w:rPr>
                    <w:t>117.03381840</w:t>
                  </w:r>
                  <w:r>
                    <w:rPr>
                      <w:rFonts w:hint="eastAsia"/>
                      <w:lang w:val="en-US" w:eastAsia="zh-CN"/>
                    </w:rPr>
                    <w:t>2</w:t>
                  </w:r>
                </w:p>
              </w:tc>
              <w:tc>
                <w:tcPr>
                  <w:tcW w:w="1292" w:type="dxa"/>
                  <w:vAlign w:val="center"/>
                </w:tcPr>
                <w:p w14:paraId="0E86B5FD">
                  <w:pPr>
                    <w:pStyle w:val="24"/>
                    <w:bidi w:val="0"/>
                    <w:rPr>
                      <w:rFonts w:hint="default"/>
                    </w:rPr>
                  </w:pPr>
                  <w:r>
                    <w:rPr>
                      <w:rFonts w:hint="eastAsia"/>
                    </w:rPr>
                    <w:t>30.543944789</w:t>
                  </w:r>
                </w:p>
              </w:tc>
              <w:tc>
                <w:tcPr>
                  <w:tcW w:w="796" w:type="dxa"/>
                  <w:vAlign w:val="center"/>
                </w:tcPr>
                <w:p w14:paraId="7BCF3D0E">
                  <w:pPr>
                    <w:pStyle w:val="24"/>
                    <w:bidi w:val="0"/>
                    <w:rPr>
                      <w:rFonts w:hint="default"/>
                    </w:rPr>
                  </w:pPr>
                  <w:r>
                    <w:rPr>
                      <w:rFonts w:hint="default"/>
                    </w:rPr>
                    <w:t>居民点</w:t>
                  </w:r>
                </w:p>
              </w:tc>
              <w:tc>
                <w:tcPr>
                  <w:tcW w:w="739" w:type="dxa"/>
                  <w:vAlign w:val="center"/>
                </w:tcPr>
                <w:p w14:paraId="1C4F886C">
                  <w:pPr>
                    <w:pStyle w:val="24"/>
                    <w:bidi w:val="0"/>
                    <w:rPr>
                      <w:rFonts w:hint="default"/>
                      <w:lang w:val="en-US" w:eastAsia="zh-CN"/>
                    </w:rPr>
                  </w:pPr>
                  <w:r>
                    <w:rPr>
                      <w:rFonts w:hint="eastAsia"/>
                    </w:rPr>
                    <w:t>2000</w:t>
                  </w:r>
                  <w:r>
                    <w:t>人</w:t>
                  </w:r>
                </w:p>
              </w:tc>
              <w:tc>
                <w:tcPr>
                  <w:tcW w:w="957" w:type="dxa"/>
                  <w:vMerge w:val="continue"/>
                  <w:vAlign w:val="center"/>
                </w:tcPr>
                <w:p w14:paraId="7BBDC424">
                  <w:pPr>
                    <w:pStyle w:val="24"/>
                    <w:bidi w:val="0"/>
                    <w:rPr>
                      <w:rFonts w:hint="default"/>
                    </w:rPr>
                  </w:pPr>
                </w:p>
              </w:tc>
              <w:tc>
                <w:tcPr>
                  <w:tcW w:w="1016" w:type="dxa"/>
                  <w:vAlign w:val="center"/>
                </w:tcPr>
                <w:p w14:paraId="70D250E3">
                  <w:pPr>
                    <w:pStyle w:val="24"/>
                    <w:bidi w:val="0"/>
                    <w:rPr>
                      <w:rFonts w:hint="default"/>
                      <w:lang w:val="en-US" w:eastAsia="zh-CN"/>
                    </w:rPr>
                  </w:pPr>
                  <w:r>
                    <w:rPr>
                      <w:rFonts w:hint="eastAsia"/>
                    </w:rPr>
                    <w:t>E</w:t>
                  </w:r>
                </w:p>
              </w:tc>
              <w:tc>
                <w:tcPr>
                  <w:tcW w:w="1133" w:type="dxa"/>
                  <w:vAlign w:val="center"/>
                </w:tcPr>
                <w:p w14:paraId="61E79CCA">
                  <w:pPr>
                    <w:pStyle w:val="24"/>
                    <w:bidi w:val="0"/>
                    <w:rPr>
                      <w:rFonts w:hint="default"/>
                      <w:lang w:val="en-US" w:eastAsia="zh-CN"/>
                    </w:rPr>
                  </w:pPr>
                  <w:r>
                    <w:rPr>
                      <w:rFonts w:hint="eastAsia"/>
                    </w:rPr>
                    <w:t>76m</w:t>
                  </w:r>
                </w:p>
              </w:tc>
            </w:tr>
            <w:tr w14:paraId="2E19C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jc w:val="center"/>
              </w:trPr>
              <w:tc>
                <w:tcPr>
                  <w:tcW w:w="829" w:type="dxa"/>
                  <w:vAlign w:val="center"/>
                </w:tcPr>
                <w:p w14:paraId="1296E5CF">
                  <w:pPr>
                    <w:pStyle w:val="24"/>
                    <w:bidi w:val="0"/>
                    <w:rPr>
                      <w:rFonts w:hint="default"/>
                      <w:lang w:val="en-US" w:eastAsia="zh-CN"/>
                    </w:rPr>
                  </w:pPr>
                  <w:r>
                    <w:rPr>
                      <w:rFonts w:hint="eastAsia"/>
                    </w:rPr>
                    <w:t>十里乡</w:t>
                  </w:r>
                </w:p>
              </w:tc>
              <w:tc>
                <w:tcPr>
                  <w:tcW w:w="1215" w:type="dxa"/>
                  <w:vAlign w:val="center"/>
                </w:tcPr>
                <w:p w14:paraId="483B1968">
                  <w:pPr>
                    <w:pStyle w:val="24"/>
                    <w:bidi w:val="0"/>
                    <w:rPr>
                      <w:rFonts w:hint="default"/>
                    </w:rPr>
                  </w:pPr>
                  <w:r>
                    <w:rPr>
                      <w:rFonts w:hint="eastAsia"/>
                    </w:rPr>
                    <w:t>117.027515211</w:t>
                  </w:r>
                </w:p>
              </w:tc>
              <w:tc>
                <w:tcPr>
                  <w:tcW w:w="1292" w:type="dxa"/>
                  <w:vAlign w:val="center"/>
                </w:tcPr>
                <w:p w14:paraId="5141E7A7">
                  <w:pPr>
                    <w:pStyle w:val="24"/>
                    <w:bidi w:val="0"/>
                    <w:rPr>
                      <w:rFonts w:hint="default"/>
                    </w:rPr>
                  </w:pPr>
                  <w:r>
                    <w:rPr>
                      <w:rFonts w:hint="eastAsia"/>
                    </w:rPr>
                    <w:t>30.543810678</w:t>
                  </w:r>
                </w:p>
              </w:tc>
              <w:tc>
                <w:tcPr>
                  <w:tcW w:w="796" w:type="dxa"/>
                  <w:vAlign w:val="center"/>
                </w:tcPr>
                <w:p w14:paraId="29BD0152">
                  <w:pPr>
                    <w:pStyle w:val="24"/>
                    <w:bidi w:val="0"/>
                    <w:rPr>
                      <w:rFonts w:hint="default"/>
                    </w:rPr>
                  </w:pPr>
                  <w:r>
                    <w:rPr>
                      <w:rFonts w:hint="default"/>
                    </w:rPr>
                    <w:t>居民点</w:t>
                  </w:r>
                </w:p>
              </w:tc>
              <w:tc>
                <w:tcPr>
                  <w:tcW w:w="739" w:type="dxa"/>
                  <w:vAlign w:val="center"/>
                </w:tcPr>
                <w:p w14:paraId="60F64AC8">
                  <w:pPr>
                    <w:pStyle w:val="24"/>
                    <w:bidi w:val="0"/>
                    <w:rPr>
                      <w:rFonts w:hint="default"/>
                      <w:lang w:val="en-US" w:eastAsia="zh-CN"/>
                    </w:rPr>
                  </w:pPr>
                  <w:r>
                    <w:rPr>
                      <w:rFonts w:hint="eastAsia"/>
                    </w:rPr>
                    <w:t>1500</w:t>
                  </w:r>
                  <w:r>
                    <w:t>人</w:t>
                  </w:r>
                </w:p>
              </w:tc>
              <w:tc>
                <w:tcPr>
                  <w:tcW w:w="957" w:type="dxa"/>
                  <w:vMerge w:val="continue"/>
                  <w:vAlign w:val="center"/>
                </w:tcPr>
                <w:p w14:paraId="3D1E0AE1">
                  <w:pPr>
                    <w:pStyle w:val="24"/>
                    <w:bidi w:val="0"/>
                    <w:rPr>
                      <w:rFonts w:hint="default"/>
                    </w:rPr>
                  </w:pPr>
                </w:p>
              </w:tc>
              <w:tc>
                <w:tcPr>
                  <w:tcW w:w="1016" w:type="dxa"/>
                  <w:vAlign w:val="center"/>
                </w:tcPr>
                <w:p w14:paraId="353FE2E2">
                  <w:pPr>
                    <w:pStyle w:val="24"/>
                    <w:bidi w:val="0"/>
                    <w:rPr>
                      <w:rFonts w:hint="default"/>
                      <w:lang w:val="en-US" w:eastAsia="zh-CN"/>
                    </w:rPr>
                  </w:pPr>
                  <w:r>
                    <w:rPr>
                      <w:rFonts w:hint="eastAsia"/>
                    </w:rPr>
                    <w:t>W</w:t>
                  </w:r>
                </w:p>
              </w:tc>
              <w:tc>
                <w:tcPr>
                  <w:tcW w:w="1133" w:type="dxa"/>
                  <w:vAlign w:val="center"/>
                </w:tcPr>
                <w:p w14:paraId="240F1506">
                  <w:pPr>
                    <w:pStyle w:val="24"/>
                    <w:bidi w:val="0"/>
                    <w:rPr>
                      <w:rFonts w:hint="default"/>
                      <w:lang w:val="en-US" w:eastAsia="zh-CN"/>
                    </w:rPr>
                  </w:pPr>
                  <w:r>
                    <w:rPr>
                      <w:rFonts w:hint="eastAsia"/>
                    </w:rPr>
                    <w:t>167m</w:t>
                  </w:r>
                </w:p>
              </w:tc>
            </w:tr>
            <w:tr w14:paraId="17D5F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829" w:type="dxa"/>
                  <w:vAlign w:val="center"/>
                </w:tcPr>
                <w:p w14:paraId="2FEEC5EE">
                  <w:pPr>
                    <w:pStyle w:val="24"/>
                    <w:bidi w:val="0"/>
                    <w:rPr>
                      <w:rFonts w:hint="default"/>
                      <w:lang w:val="en-US" w:eastAsia="zh-CN"/>
                    </w:rPr>
                  </w:pPr>
                  <w:r>
                    <w:rPr>
                      <w:rFonts w:hint="eastAsia"/>
                    </w:rPr>
                    <w:t>尚城花园北苑</w:t>
                  </w:r>
                </w:p>
              </w:tc>
              <w:tc>
                <w:tcPr>
                  <w:tcW w:w="1215" w:type="dxa"/>
                  <w:vAlign w:val="center"/>
                </w:tcPr>
                <w:p w14:paraId="76AF6048">
                  <w:pPr>
                    <w:pStyle w:val="24"/>
                    <w:bidi w:val="0"/>
                    <w:rPr>
                      <w:rFonts w:hint="default"/>
                    </w:rPr>
                  </w:pPr>
                  <w:r>
                    <w:rPr>
                      <w:rFonts w:hint="eastAsia"/>
                    </w:rPr>
                    <w:t>117.027981915</w:t>
                  </w:r>
                </w:p>
              </w:tc>
              <w:tc>
                <w:tcPr>
                  <w:tcW w:w="1292" w:type="dxa"/>
                  <w:vAlign w:val="center"/>
                </w:tcPr>
                <w:p w14:paraId="76C7D786">
                  <w:pPr>
                    <w:pStyle w:val="24"/>
                    <w:bidi w:val="0"/>
                    <w:rPr>
                      <w:rFonts w:hint="default"/>
                    </w:rPr>
                  </w:pPr>
                  <w:r>
                    <w:rPr>
                      <w:rFonts w:hint="eastAsia"/>
                    </w:rPr>
                    <w:t>30.547635508</w:t>
                  </w:r>
                </w:p>
              </w:tc>
              <w:tc>
                <w:tcPr>
                  <w:tcW w:w="796" w:type="dxa"/>
                  <w:vAlign w:val="center"/>
                </w:tcPr>
                <w:p w14:paraId="2A847DEB">
                  <w:pPr>
                    <w:pStyle w:val="24"/>
                    <w:bidi w:val="0"/>
                    <w:rPr>
                      <w:rFonts w:hint="default"/>
                    </w:rPr>
                  </w:pPr>
                  <w:r>
                    <w:rPr>
                      <w:rFonts w:hint="default"/>
                    </w:rPr>
                    <w:t>居民点</w:t>
                  </w:r>
                </w:p>
              </w:tc>
              <w:tc>
                <w:tcPr>
                  <w:tcW w:w="739" w:type="dxa"/>
                  <w:vAlign w:val="center"/>
                </w:tcPr>
                <w:p w14:paraId="1614E6F5">
                  <w:pPr>
                    <w:pStyle w:val="24"/>
                    <w:bidi w:val="0"/>
                    <w:rPr>
                      <w:rFonts w:hint="default"/>
                      <w:lang w:val="en-US" w:eastAsia="zh-CN"/>
                    </w:rPr>
                  </w:pPr>
                  <w:r>
                    <w:rPr>
                      <w:rFonts w:hint="eastAsia"/>
                    </w:rPr>
                    <w:t>400</w:t>
                  </w:r>
                  <w:r>
                    <w:t>人</w:t>
                  </w:r>
                </w:p>
              </w:tc>
              <w:tc>
                <w:tcPr>
                  <w:tcW w:w="957" w:type="dxa"/>
                  <w:vMerge w:val="continue"/>
                  <w:vAlign w:val="center"/>
                </w:tcPr>
                <w:p w14:paraId="5538E237">
                  <w:pPr>
                    <w:pStyle w:val="24"/>
                    <w:bidi w:val="0"/>
                    <w:rPr>
                      <w:rFonts w:hint="default"/>
                    </w:rPr>
                  </w:pPr>
                </w:p>
              </w:tc>
              <w:tc>
                <w:tcPr>
                  <w:tcW w:w="1016" w:type="dxa"/>
                  <w:vAlign w:val="center"/>
                </w:tcPr>
                <w:p w14:paraId="3E219A17">
                  <w:pPr>
                    <w:pStyle w:val="24"/>
                    <w:bidi w:val="0"/>
                    <w:rPr>
                      <w:rFonts w:hint="default"/>
                      <w:lang w:val="en-US" w:eastAsia="zh-CN"/>
                    </w:rPr>
                  </w:pPr>
                  <w:r>
                    <w:rPr>
                      <w:rFonts w:hint="eastAsia"/>
                    </w:rPr>
                    <w:t>N</w:t>
                  </w:r>
                </w:p>
              </w:tc>
              <w:tc>
                <w:tcPr>
                  <w:tcW w:w="1133" w:type="dxa"/>
                  <w:vAlign w:val="center"/>
                </w:tcPr>
                <w:p w14:paraId="6EB949BB">
                  <w:pPr>
                    <w:pStyle w:val="24"/>
                    <w:bidi w:val="0"/>
                    <w:rPr>
                      <w:rFonts w:hint="default"/>
                      <w:lang w:val="en-US" w:eastAsia="zh-CN"/>
                    </w:rPr>
                  </w:pPr>
                  <w:r>
                    <w:rPr>
                      <w:rFonts w:hint="eastAsia"/>
                    </w:rPr>
                    <w:t>247m</w:t>
                  </w:r>
                </w:p>
              </w:tc>
            </w:tr>
            <w:tr w14:paraId="30C8D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0" w:type="auto"/>
                  <w:vAlign w:val="center"/>
                </w:tcPr>
                <w:p w14:paraId="5580FDFB">
                  <w:pPr>
                    <w:pStyle w:val="24"/>
                    <w:bidi w:val="0"/>
                    <w:rPr>
                      <w:rFonts w:hint="default"/>
                      <w:lang w:val="en-US" w:eastAsia="zh-CN"/>
                    </w:rPr>
                  </w:pPr>
                  <w:r>
                    <w:rPr>
                      <w:rFonts w:hint="eastAsia"/>
                    </w:rPr>
                    <w:t>和谐佳苑</w:t>
                  </w:r>
                </w:p>
              </w:tc>
              <w:tc>
                <w:tcPr>
                  <w:tcW w:w="0" w:type="auto"/>
                </w:tcPr>
                <w:p w14:paraId="2CCE31F0">
                  <w:pPr>
                    <w:pStyle w:val="24"/>
                    <w:bidi w:val="0"/>
                    <w:rPr>
                      <w:rFonts w:hint="default"/>
                    </w:rPr>
                  </w:pPr>
                  <w:r>
                    <w:rPr>
                      <w:rFonts w:hint="eastAsia"/>
                    </w:rPr>
                    <w:t>117.030696310</w:t>
                  </w:r>
                </w:p>
              </w:tc>
              <w:tc>
                <w:tcPr>
                  <w:tcW w:w="0" w:type="auto"/>
                </w:tcPr>
                <w:p w14:paraId="7A1236D0">
                  <w:pPr>
                    <w:pStyle w:val="24"/>
                    <w:bidi w:val="0"/>
                    <w:rPr>
                      <w:rFonts w:hint="default"/>
                    </w:rPr>
                  </w:pPr>
                  <w:r>
                    <w:rPr>
                      <w:rFonts w:hint="eastAsia"/>
                    </w:rPr>
                    <w:t>30.548397255</w:t>
                  </w:r>
                </w:p>
              </w:tc>
              <w:tc>
                <w:tcPr>
                  <w:tcW w:w="0" w:type="auto"/>
                </w:tcPr>
                <w:p w14:paraId="5896FDCC">
                  <w:pPr>
                    <w:pStyle w:val="24"/>
                    <w:bidi w:val="0"/>
                    <w:rPr>
                      <w:rFonts w:hint="default"/>
                    </w:rPr>
                  </w:pPr>
                  <w:r>
                    <w:rPr>
                      <w:rFonts w:hint="default"/>
                    </w:rPr>
                    <w:t>居民点</w:t>
                  </w:r>
                </w:p>
              </w:tc>
              <w:tc>
                <w:tcPr>
                  <w:tcW w:w="0" w:type="auto"/>
                  <w:vAlign w:val="center"/>
                </w:tcPr>
                <w:p w14:paraId="3A399756">
                  <w:pPr>
                    <w:pStyle w:val="24"/>
                    <w:bidi w:val="0"/>
                    <w:rPr>
                      <w:rFonts w:hint="default"/>
                      <w:lang w:val="en-US" w:eastAsia="zh-CN"/>
                    </w:rPr>
                  </w:pPr>
                  <w:r>
                    <w:rPr>
                      <w:rFonts w:hint="eastAsia"/>
                    </w:rPr>
                    <w:t>1134</w:t>
                  </w:r>
                  <w:r>
                    <w:t>人</w:t>
                  </w:r>
                </w:p>
              </w:tc>
              <w:tc>
                <w:tcPr>
                  <w:tcW w:w="957" w:type="dxa"/>
                  <w:vMerge w:val="continue"/>
                </w:tcPr>
                <w:p w14:paraId="75C904CF">
                  <w:pPr>
                    <w:pStyle w:val="24"/>
                    <w:bidi w:val="0"/>
                    <w:rPr>
                      <w:rFonts w:hint="default"/>
                    </w:rPr>
                  </w:pPr>
                </w:p>
              </w:tc>
              <w:tc>
                <w:tcPr>
                  <w:tcW w:w="0" w:type="auto"/>
                  <w:vAlign w:val="center"/>
                </w:tcPr>
                <w:p w14:paraId="5670CDB9">
                  <w:pPr>
                    <w:pStyle w:val="24"/>
                    <w:bidi w:val="0"/>
                    <w:rPr>
                      <w:rFonts w:hint="default"/>
                      <w:lang w:val="en-US" w:eastAsia="zh-CN"/>
                    </w:rPr>
                  </w:pPr>
                  <w:r>
                    <w:rPr>
                      <w:rFonts w:hint="eastAsia"/>
                    </w:rPr>
                    <w:t>N</w:t>
                  </w:r>
                </w:p>
              </w:tc>
              <w:tc>
                <w:tcPr>
                  <w:tcW w:w="0" w:type="auto"/>
                  <w:vAlign w:val="center"/>
                </w:tcPr>
                <w:p w14:paraId="5CE6FE07">
                  <w:pPr>
                    <w:pStyle w:val="24"/>
                    <w:bidi w:val="0"/>
                    <w:rPr>
                      <w:rFonts w:hint="default"/>
                      <w:lang w:val="en-US" w:eastAsia="zh-CN"/>
                    </w:rPr>
                  </w:pPr>
                  <w:r>
                    <w:rPr>
                      <w:rFonts w:hint="eastAsia"/>
                    </w:rPr>
                    <w:t>263m</w:t>
                  </w:r>
                </w:p>
              </w:tc>
            </w:tr>
            <w:tr w14:paraId="13013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0" w:type="auto"/>
                  <w:vAlign w:val="center"/>
                </w:tcPr>
                <w:p w14:paraId="014D14F3">
                  <w:pPr>
                    <w:pStyle w:val="24"/>
                    <w:bidi w:val="0"/>
                    <w:rPr>
                      <w:rFonts w:hint="default"/>
                      <w:lang w:val="en-US" w:eastAsia="zh-CN"/>
                    </w:rPr>
                  </w:pPr>
                  <w:r>
                    <w:rPr>
                      <w:rFonts w:hint="eastAsia"/>
                    </w:rPr>
                    <w:t>五里孙畈组</w:t>
                  </w:r>
                </w:p>
              </w:tc>
              <w:tc>
                <w:tcPr>
                  <w:tcW w:w="0" w:type="auto"/>
                </w:tcPr>
                <w:p w14:paraId="48D0540A">
                  <w:pPr>
                    <w:pStyle w:val="24"/>
                    <w:bidi w:val="0"/>
                    <w:rPr>
                      <w:rFonts w:hint="default"/>
                    </w:rPr>
                  </w:pPr>
                  <w:r>
                    <w:rPr>
                      <w:rFonts w:hint="eastAsia"/>
                    </w:rPr>
                    <w:t>117.023550906</w:t>
                  </w:r>
                </w:p>
              </w:tc>
              <w:tc>
                <w:tcPr>
                  <w:tcW w:w="0" w:type="auto"/>
                </w:tcPr>
                <w:p w14:paraId="444907FB">
                  <w:pPr>
                    <w:pStyle w:val="24"/>
                    <w:bidi w:val="0"/>
                    <w:rPr>
                      <w:rFonts w:hint="default"/>
                    </w:rPr>
                  </w:pPr>
                  <w:r>
                    <w:rPr>
                      <w:rFonts w:hint="eastAsia"/>
                    </w:rPr>
                    <w:t>30.547088337</w:t>
                  </w:r>
                </w:p>
              </w:tc>
              <w:tc>
                <w:tcPr>
                  <w:tcW w:w="0" w:type="auto"/>
                </w:tcPr>
                <w:p w14:paraId="1EA68E09">
                  <w:pPr>
                    <w:pStyle w:val="24"/>
                    <w:bidi w:val="0"/>
                    <w:rPr>
                      <w:rFonts w:hint="default"/>
                    </w:rPr>
                  </w:pPr>
                  <w:r>
                    <w:rPr>
                      <w:rFonts w:hint="default"/>
                    </w:rPr>
                    <w:t>居民点</w:t>
                  </w:r>
                </w:p>
              </w:tc>
              <w:tc>
                <w:tcPr>
                  <w:tcW w:w="0" w:type="auto"/>
                  <w:vAlign w:val="center"/>
                </w:tcPr>
                <w:p w14:paraId="147B4137">
                  <w:pPr>
                    <w:pStyle w:val="24"/>
                    <w:bidi w:val="0"/>
                    <w:rPr>
                      <w:rFonts w:hint="default"/>
                      <w:lang w:val="en-US" w:eastAsia="zh-CN"/>
                    </w:rPr>
                  </w:pPr>
                  <w:r>
                    <w:rPr>
                      <w:rFonts w:hint="eastAsia"/>
                    </w:rPr>
                    <w:t>900</w:t>
                  </w:r>
                  <w:r>
                    <w:t>人</w:t>
                  </w:r>
                </w:p>
              </w:tc>
              <w:tc>
                <w:tcPr>
                  <w:tcW w:w="957" w:type="dxa"/>
                  <w:vMerge w:val="continue"/>
                </w:tcPr>
                <w:p w14:paraId="63F927C6">
                  <w:pPr>
                    <w:pStyle w:val="24"/>
                    <w:bidi w:val="0"/>
                    <w:rPr>
                      <w:rFonts w:hint="default"/>
                    </w:rPr>
                  </w:pPr>
                </w:p>
              </w:tc>
              <w:tc>
                <w:tcPr>
                  <w:tcW w:w="0" w:type="auto"/>
                  <w:vAlign w:val="center"/>
                </w:tcPr>
                <w:p w14:paraId="19205664">
                  <w:pPr>
                    <w:pStyle w:val="24"/>
                    <w:bidi w:val="0"/>
                    <w:rPr>
                      <w:rFonts w:hint="default"/>
                      <w:lang w:val="en-US" w:eastAsia="zh-CN"/>
                    </w:rPr>
                  </w:pPr>
                  <w:r>
                    <w:rPr>
                      <w:rFonts w:hint="eastAsia"/>
                    </w:rPr>
                    <w:t>NW</w:t>
                  </w:r>
                </w:p>
              </w:tc>
              <w:tc>
                <w:tcPr>
                  <w:tcW w:w="0" w:type="auto"/>
                  <w:vAlign w:val="center"/>
                </w:tcPr>
                <w:p w14:paraId="1DA99F59">
                  <w:pPr>
                    <w:pStyle w:val="24"/>
                    <w:bidi w:val="0"/>
                    <w:rPr>
                      <w:rFonts w:hint="default"/>
                      <w:lang w:val="en-US" w:eastAsia="zh-CN"/>
                    </w:rPr>
                  </w:pPr>
                  <w:r>
                    <w:rPr>
                      <w:rFonts w:hint="eastAsia"/>
                    </w:rPr>
                    <w:t>486m</w:t>
                  </w:r>
                </w:p>
              </w:tc>
            </w:tr>
          </w:tbl>
          <w:p w14:paraId="1AAA4FE3">
            <w:pPr>
              <w:pStyle w:val="4"/>
              <w:suppressLineNumbers w:val="0"/>
              <w:spacing w:before="0" w:beforeAutospacing="0" w:after="0" w:afterAutospacing="0" w:line="240" w:lineRule="auto"/>
              <w:ind w:left="0" w:leftChars="0" w:right="0" w:firstLine="0" w:firstLineChars="0"/>
              <w:rPr>
                <w:rFonts w:hint="default"/>
                <w:sz w:val="18"/>
                <w:szCs w:val="18"/>
              </w:rPr>
            </w:pPr>
            <w:r>
              <w:rPr>
                <w:rFonts w:hint="eastAsia"/>
                <w:sz w:val="18"/>
                <w:szCs w:val="18"/>
              </w:rPr>
              <w:t>注：距企业1#车间无组织排放源120m；距2#车间无组织排放源55m</w:t>
            </w:r>
          </w:p>
          <w:p w14:paraId="3066DABF">
            <w:pPr>
              <w:pStyle w:val="4"/>
              <w:suppressLineNumbers w:val="0"/>
              <w:bidi w:val="0"/>
              <w:spacing w:before="0" w:beforeAutospacing="0" w:after="0" w:afterAutospacing="0"/>
              <w:ind w:left="0" w:right="0"/>
              <w:rPr>
                <w:rFonts w:hint="default"/>
              </w:rPr>
            </w:pPr>
            <w:r>
              <w:rPr>
                <w:rFonts w:hint="eastAsia"/>
              </w:rPr>
              <w:t>2.1.</w:t>
            </w:r>
            <w:r>
              <w:rPr>
                <w:rFonts w:hint="eastAsia"/>
                <w:lang w:val="en-US" w:eastAsia="zh-CN"/>
              </w:rPr>
              <w:t>8</w:t>
            </w:r>
            <w:r>
              <w:rPr>
                <w:rFonts w:hint="eastAsia"/>
              </w:rPr>
              <w:t>主要工艺流程及产物环节</w:t>
            </w:r>
          </w:p>
          <w:p w14:paraId="0FC4A0C4">
            <w:pPr>
              <w:keepNext w:val="0"/>
              <w:keepLines w:val="0"/>
              <w:widowControl w:val="0"/>
              <w:suppressLineNumbers w:val="0"/>
              <w:spacing w:before="0" w:beforeAutospacing="0" w:after="0" w:afterAutospacing="0" w:line="360" w:lineRule="auto"/>
              <w:ind w:left="0" w:right="0" w:firstLine="480" w:firstLineChars="200"/>
              <w:jc w:val="both"/>
              <w:rPr>
                <w:rFonts w:hint="default"/>
                <w:lang w:val="en-US"/>
              </w:rPr>
            </w:pPr>
            <w:r>
              <w:rPr>
                <w:rFonts w:hint="eastAsia"/>
                <w:lang w:val="en-US" w:eastAsia="zh-CN"/>
              </w:rPr>
              <w:t>本次工程主要建设端面密封件生产线，与环评相比，生产工艺未发生变化。</w:t>
            </w:r>
          </w:p>
          <w:p w14:paraId="3D278241">
            <w:pPr>
              <w:keepNext w:val="0"/>
              <w:keepLines w:val="0"/>
              <w:numPr>
                <w:ilvl w:val="0"/>
                <w:numId w:val="0"/>
              </w:numPr>
              <w:suppressLineNumbers w:val="0"/>
              <w:spacing w:before="0" w:beforeAutospacing="0" w:after="0" w:afterAutospacing="0"/>
              <w:ind w:left="0" w:right="0"/>
              <w:jc w:val="center"/>
              <w:rPr>
                <w:rFonts w:hint="default"/>
                <w:lang w:val="en-US" w:eastAsia="zh-CN"/>
              </w:rPr>
            </w:pPr>
            <w:r>
              <w:rPr>
                <w:rFonts w:hint="default" w:ascii="Times New Roman" w:hAnsi="Times New Roman" w:cs="Times New Roman"/>
              </w:rPr>
              <w:object>
                <v:shape id="_x0000_i1026" o:spt="75" type="#_x0000_t75" style="height:595.5pt;width:335.3pt;" o:ole="t" filled="f" o:preferrelative="t" stroked="f" coordsize="21600,21600">
                  <v:path/>
                  <v:fill on="f" focussize="0,0"/>
                  <v:stroke on="f"/>
                  <v:imagedata r:id="rId11" o:title=""/>
                  <o:lock v:ext="edit" aspectratio="f"/>
                  <w10:wrap type="none"/>
                  <w10:anchorlock/>
                </v:shape>
                <o:OLEObject Type="Embed" ProgID="Visio.Drawing.15" ShapeID="_x0000_i1026" DrawAspect="Content" ObjectID="_1468075726" r:id="rId10">
                  <o:LockedField>false</o:LockedField>
                </o:OLEObject>
              </w:object>
            </w:r>
          </w:p>
          <w:p w14:paraId="76613EB3">
            <w:pPr>
              <w:pStyle w:val="25"/>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图2</w:t>
            </w:r>
            <w:r>
              <w:rPr>
                <w:rFonts w:hint="eastAsia"/>
                <w:lang w:val="en-US" w:eastAsia="zh-CN"/>
              </w:rPr>
              <w:t>-2</w:t>
            </w:r>
            <w:r>
              <w:rPr>
                <w:rFonts w:hint="default"/>
                <w:lang w:val="en-US" w:eastAsia="zh-CN"/>
              </w:rPr>
              <w:t xml:space="preserve"> </w:t>
            </w:r>
            <w:r>
              <w:rPr>
                <w:rFonts w:hint="default" w:ascii="Times New Roman" w:hAnsi="Times New Roman" w:cs="Times New Roman"/>
              </w:rPr>
              <w:t>项目</w:t>
            </w:r>
            <w:r>
              <w:rPr>
                <w:rFonts w:hint="default" w:ascii="Times New Roman" w:hAnsi="Times New Roman" w:cs="Times New Roman"/>
                <w:lang w:eastAsia="zh-CN"/>
              </w:rPr>
              <w:t>端面密封件</w:t>
            </w:r>
            <w:r>
              <w:rPr>
                <w:rFonts w:hint="default" w:ascii="Times New Roman" w:hAnsi="Times New Roman" w:cs="Times New Roman"/>
              </w:rPr>
              <w:t>生产工艺流程图</w:t>
            </w:r>
          </w:p>
          <w:p w14:paraId="749C0CC0">
            <w:pPr>
              <w:keepNext w:val="0"/>
              <w:keepLines w:val="0"/>
              <w:suppressLineNumbers w:val="0"/>
              <w:bidi w:val="0"/>
              <w:spacing w:before="0" w:beforeAutospacing="0" w:after="0" w:afterAutospacing="0"/>
              <w:ind w:left="0" w:right="0"/>
              <w:rPr>
                <w:rFonts w:hint="default"/>
              </w:rPr>
            </w:pPr>
            <w:r>
              <w:rPr>
                <w:rFonts w:hint="default"/>
              </w:rPr>
              <w:t>工艺流程说明：</w:t>
            </w:r>
          </w:p>
          <w:p w14:paraId="54A4F34E">
            <w:pPr>
              <w:keepNext w:val="0"/>
              <w:keepLines w:val="0"/>
              <w:suppressLineNumbers w:val="0"/>
              <w:bidi w:val="0"/>
              <w:spacing w:before="0" w:beforeAutospacing="0" w:after="0" w:afterAutospacing="0"/>
              <w:ind w:left="0" w:right="0"/>
              <w:rPr>
                <w:rFonts w:hint="default"/>
              </w:rPr>
            </w:pPr>
            <w:r>
              <w:rPr>
                <w:rFonts w:hint="eastAsia" w:ascii="Times New Roman" w:hAnsi="Times New Roman" w:cs="Times New Roman"/>
                <w:lang w:val="en-US" w:eastAsia="zh-CN"/>
              </w:rPr>
              <w:t>外购毛坯件进行生产，</w:t>
            </w:r>
            <w:r>
              <w:rPr>
                <w:rFonts w:hint="default" w:ascii="Times New Roman" w:hAnsi="Times New Roman" w:cs="Times New Roman"/>
              </w:rPr>
              <w:t>要求毛坯的尺寸精度达到规定的规格要求。</w:t>
            </w:r>
            <w:r>
              <w:rPr>
                <w:rFonts w:hint="default" w:ascii="Times New Roman" w:hAnsi="Times New Roman" w:cs="Times New Roman"/>
                <w:lang w:eastAsia="zh-CN"/>
              </w:rPr>
              <w:t>背面</w:t>
            </w:r>
            <w:r>
              <w:rPr>
                <w:rFonts w:hint="default" w:ascii="Times New Roman" w:hAnsi="Times New Roman" w:cs="Times New Roman"/>
              </w:rPr>
              <w:t>珩磨与成型磨</w:t>
            </w:r>
            <w:r>
              <w:rPr>
                <w:rFonts w:hint="default" w:ascii="Times New Roman" w:hAnsi="Times New Roman" w:cs="Times New Roman"/>
                <w:lang w:eastAsia="zh-CN"/>
              </w:rPr>
              <w:t>以及自动车床加工</w:t>
            </w:r>
            <w:r>
              <w:rPr>
                <w:rFonts w:hint="default" w:ascii="Times New Roman" w:hAnsi="Times New Roman" w:cs="Times New Roman"/>
              </w:rPr>
              <w:t>是对端面密封件半成品的外圆面进行磨削加工，以有利于其在运动工作中更好地紧贴，起到有效的密封作用。梯面磨是对端面密封件的端面进行磨削加工，磨削成断面形状为梯形，此形状对端面密封件在工作时避免被黏结而出现折断，同时密封性能更优越，使用寿命长的好处。精绗磨是对端面密封件半成品的外圆面进行精加工，修正其圆度。清洗与抛光是对前面生产过程中产生的附着杂质进行清除，确保成品清洁度。</w:t>
            </w:r>
            <w:r>
              <w:rPr>
                <w:rFonts w:hint="default" w:ascii="Times New Roman" w:hAnsi="Times New Roman" w:cs="Times New Roman"/>
                <w:lang w:eastAsia="zh-CN"/>
              </w:rPr>
              <w:t>随后对产品进行检查，以去除次品，最后包装入库。</w:t>
            </w:r>
          </w:p>
          <w:p w14:paraId="75E55D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rPr>
            </w:pPr>
            <w:r>
              <w:rPr>
                <w:rFonts w:hint="default"/>
              </w:rPr>
              <w:t>根据工艺流程，结合本项目营运过程中主要污染物如下：</w:t>
            </w:r>
          </w:p>
          <w:p w14:paraId="31BF27AC">
            <w:pPr>
              <w:pStyle w:val="18"/>
              <w:keepNext w:val="0"/>
              <w:keepLines w:val="0"/>
              <w:suppressLineNumbers w:val="0"/>
              <w:bidi w:val="0"/>
              <w:spacing w:before="0" w:beforeAutospacing="0" w:after="0" w:afterAutospacing="0"/>
              <w:ind w:left="0" w:right="0"/>
              <w:jc w:val="center"/>
              <w:rPr>
                <w:rFonts w:hint="default"/>
              </w:rPr>
            </w:pPr>
            <w:r>
              <w:rPr>
                <w:rFonts w:hint="eastAsia"/>
                <w:lang w:val="en-US" w:eastAsia="zh-CN"/>
              </w:rPr>
              <w:t xml:space="preserve">表2.1-7 </w:t>
            </w:r>
            <w:r>
              <w:rPr>
                <w:rFonts w:hint="default"/>
              </w:rPr>
              <w:t>项目主要污染工序及污染因子汇总表</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2"/>
              <w:gridCol w:w="691"/>
              <w:gridCol w:w="2147"/>
              <w:gridCol w:w="1815"/>
              <w:gridCol w:w="2524"/>
            </w:tblGrid>
            <w:tr w14:paraId="7310A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1093" w:type="dxa"/>
                  <w:gridSpan w:val="2"/>
                  <w:vAlign w:val="center"/>
                </w:tcPr>
                <w:p w14:paraId="75267F1E">
                  <w:pPr>
                    <w:pStyle w:val="24"/>
                    <w:rPr>
                      <w:rFonts w:hint="default" w:ascii="Times New Roman" w:hAnsi="Times New Roman" w:cs="Times New Roman"/>
                    </w:rPr>
                  </w:pPr>
                  <w:r>
                    <w:rPr>
                      <w:rFonts w:hint="default" w:ascii="Times New Roman" w:hAnsi="Times New Roman" w:cs="Times New Roman"/>
                    </w:rPr>
                    <w:t>类别</w:t>
                  </w:r>
                </w:p>
              </w:tc>
              <w:tc>
                <w:tcPr>
                  <w:tcW w:w="2147" w:type="dxa"/>
                  <w:vAlign w:val="center"/>
                </w:tcPr>
                <w:p w14:paraId="174C5670">
                  <w:pPr>
                    <w:pStyle w:val="24"/>
                    <w:rPr>
                      <w:rFonts w:hint="default" w:ascii="Times New Roman" w:hAnsi="Times New Roman" w:cs="Times New Roman"/>
                    </w:rPr>
                  </w:pPr>
                  <w:r>
                    <w:rPr>
                      <w:rFonts w:hint="default" w:ascii="Times New Roman" w:hAnsi="Times New Roman" w:cs="Times New Roman"/>
                    </w:rPr>
                    <w:t>主要污染工序</w:t>
                  </w:r>
                </w:p>
              </w:tc>
              <w:tc>
                <w:tcPr>
                  <w:tcW w:w="1815" w:type="dxa"/>
                  <w:vAlign w:val="center"/>
                </w:tcPr>
                <w:p w14:paraId="7A15A104">
                  <w:pPr>
                    <w:pStyle w:val="24"/>
                    <w:rPr>
                      <w:rFonts w:hint="default" w:ascii="Times New Roman" w:hAnsi="Times New Roman" w:cs="Times New Roman"/>
                    </w:rPr>
                  </w:pPr>
                  <w:r>
                    <w:rPr>
                      <w:rFonts w:hint="default" w:ascii="Times New Roman" w:hAnsi="Times New Roman" w:cs="Times New Roman"/>
                    </w:rPr>
                    <w:t>主要污染物</w:t>
                  </w:r>
                </w:p>
              </w:tc>
              <w:tc>
                <w:tcPr>
                  <w:tcW w:w="2524" w:type="dxa"/>
                  <w:vAlign w:val="center"/>
                </w:tcPr>
                <w:p w14:paraId="34D405E2">
                  <w:pPr>
                    <w:pStyle w:val="24"/>
                    <w:rPr>
                      <w:rFonts w:hint="default" w:ascii="Times New Roman" w:hAnsi="Times New Roman" w:cs="Times New Roman"/>
                    </w:rPr>
                  </w:pPr>
                  <w:r>
                    <w:rPr>
                      <w:rFonts w:hint="default" w:ascii="Times New Roman" w:hAnsi="Times New Roman" w:cs="Times New Roman"/>
                    </w:rPr>
                    <w:t>主要污染因子</w:t>
                  </w:r>
                </w:p>
              </w:tc>
            </w:tr>
            <w:tr w14:paraId="4A64E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restart"/>
                  <w:vAlign w:val="center"/>
                </w:tcPr>
                <w:p w14:paraId="55741EC4">
                  <w:pPr>
                    <w:pStyle w:val="24"/>
                    <w:rPr>
                      <w:rFonts w:hint="default" w:ascii="Times New Roman" w:hAnsi="Times New Roman" w:cs="Times New Roman"/>
                    </w:rPr>
                  </w:pPr>
                  <w:r>
                    <w:rPr>
                      <w:rFonts w:hint="default" w:ascii="Times New Roman" w:hAnsi="Times New Roman" w:cs="Times New Roman"/>
                    </w:rPr>
                    <w:t>施工期</w:t>
                  </w:r>
                </w:p>
              </w:tc>
              <w:tc>
                <w:tcPr>
                  <w:tcW w:w="691" w:type="dxa"/>
                  <w:vMerge w:val="restart"/>
                  <w:vAlign w:val="center"/>
                </w:tcPr>
                <w:p w14:paraId="59445B13">
                  <w:pPr>
                    <w:pStyle w:val="24"/>
                    <w:rPr>
                      <w:rFonts w:hint="default" w:ascii="Times New Roman" w:hAnsi="Times New Roman" w:cs="Times New Roman"/>
                    </w:rPr>
                  </w:pPr>
                  <w:r>
                    <w:rPr>
                      <w:rFonts w:hint="default" w:ascii="Times New Roman" w:hAnsi="Times New Roman" w:cs="Times New Roman"/>
                    </w:rPr>
                    <w:t>废水</w:t>
                  </w:r>
                </w:p>
              </w:tc>
              <w:tc>
                <w:tcPr>
                  <w:tcW w:w="2147" w:type="dxa"/>
                  <w:vAlign w:val="center"/>
                </w:tcPr>
                <w:p w14:paraId="3991298D">
                  <w:pPr>
                    <w:pStyle w:val="24"/>
                    <w:rPr>
                      <w:rFonts w:hint="default" w:ascii="Times New Roman" w:hAnsi="Times New Roman" w:cs="Times New Roman"/>
                    </w:rPr>
                  </w:pPr>
                  <w:r>
                    <w:rPr>
                      <w:rFonts w:hint="default" w:ascii="Times New Roman" w:hAnsi="Times New Roman" w:cs="Times New Roman"/>
                    </w:rPr>
                    <w:t>施工生活</w:t>
                  </w:r>
                </w:p>
              </w:tc>
              <w:tc>
                <w:tcPr>
                  <w:tcW w:w="1815" w:type="dxa"/>
                  <w:vAlign w:val="center"/>
                </w:tcPr>
                <w:p w14:paraId="5FB83D86">
                  <w:pPr>
                    <w:pStyle w:val="24"/>
                    <w:rPr>
                      <w:rFonts w:hint="default" w:ascii="Times New Roman" w:hAnsi="Times New Roman" w:cs="Times New Roman"/>
                    </w:rPr>
                  </w:pPr>
                  <w:r>
                    <w:rPr>
                      <w:rFonts w:hint="default" w:ascii="Times New Roman" w:hAnsi="Times New Roman" w:cs="Times New Roman"/>
                    </w:rPr>
                    <w:t>生活污水</w:t>
                  </w:r>
                </w:p>
              </w:tc>
              <w:tc>
                <w:tcPr>
                  <w:tcW w:w="2524" w:type="dxa"/>
                  <w:vAlign w:val="center"/>
                </w:tcPr>
                <w:p w14:paraId="72AC40CA">
                  <w:pPr>
                    <w:pStyle w:val="24"/>
                    <w:rPr>
                      <w:rFonts w:hint="default" w:ascii="Times New Roman" w:hAnsi="Times New Roman" w:cs="Times New Roman"/>
                    </w:rPr>
                  </w:pPr>
                  <w:r>
                    <w:rPr>
                      <w:rFonts w:hint="default" w:ascii="Times New Roman" w:hAnsi="Times New Roman" w:cs="Times New Roman"/>
                    </w:rPr>
                    <w:t>COD、氨氮</w:t>
                  </w:r>
                </w:p>
              </w:tc>
            </w:tr>
            <w:tr w14:paraId="762A8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3617B7E3">
                  <w:pPr>
                    <w:pStyle w:val="24"/>
                    <w:rPr>
                      <w:rFonts w:hint="default" w:ascii="Times New Roman" w:hAnsi="Times New Roman" w:cs="Times New Roman"/>
                    </w:rPr>
                  </w:pPr>
                </w:p>
              </w:tc>
              <w:tc>
                <w:tcPr>
                  <w:tcW w:w="691" w:type="dxa"/>
                  <w:vMerge w:val="continue"/>
                  <w:vAlign w:val="center"/>
                </w:tcPr>
                <w:p w14:paraId="2DFD0618">
                  <w:pPr>
                    <w:pStyle w:val="24"/>
                    <w:rPr>
                      <w:rFonts w:hint="default" w:ascii="Times New Roman" w:hAnsi="Times New Roman" w:cs="Times New Roman"/>
                    </w:rPr>
                  </w:pPr>
                </w:p>
              </w:tc>
              <w:tc>
                <w:tcPr>
                  <w:tcW w:w="2147" w:type="dxa"/>
                  <w:vAlign w:val="center"/>
                </w:tcPr>
                <w:p w14:paraId="0491262A">
                  <w:pPr>
                    <w:pStyle w:val="24"/>
                    <w:rPr>
                      <w:rFonts w:hint="default" w:ascii="Times New Roman" w:hAnsi="Times New Roman" w:cs="Times New Roman"/>
                    </w:rPr>
                  </w:pPr>
                  <w:r>
                    <w:rPr>
                      <w:rFonts w:hint="default" w:ascii="Times New Roman" w:hAnsi="Times New Roman" w:cs="Times New Roman"/>
                    </w:rPr>
                    <w:t>施工机械</w:t>
                  </w:r>
                </w:p>
              </w:tc>
              <w:tc>
                <w:tcPr>
                  <w:tcW w:w="1815" w:type="dxa"/>
                  <w:vAlign w:val="center"/>
                </w:tcPr>
                <w:p w14:paraId="3F9B4CC6">
                  <w:pPr>
                    <w:pStyle w:val="24"/>
                    <w:rPr>
                      <w:rFonts w:hint="default" w:ascii="Times New Roman" w:hAnsi="Times New Roman" w:cs="Times New Roman"/>
                    </w:rPr>
                  </w:pPr>
                  <w:r>
                    <w:rPr>
                      <w:rFonts w:hint="default" w:ascii="Times New Roman" w:hAnsi="Times New Roman" w:cs="Times New Roman"/>
                    </w:rPr>
                    <w:t xml:space="preserve">施工废水 </w:t>
                  </w:r>
                </w:p>
              </w:tc>
              <w:tc>
                <w:tcPr>
                  <w:tcW w:w="2524" w:type="dxa"/>
                  <w:vAlign w:val="center"/>
                </w:tcPr>
                <w:p w14:paraId="09A8A821">
                  <w:pPr>
                    <w:pStyle w:val="24"/>
                    <w:rPr>
                      <w:rFonts w:hint="default" w:ascii="Times New Roman" w:hAnsi="Times New Roman" w:cs="Times New Roman"/>
                    </w:rPr>
                  </w:pPr>
                  <w:r>
                    <w:rPr>
                      <w:rFonts w:hint="default" w:ascii="Times New Roman" w:hAnsi="Times New Roman" w:cs="Times New Roman"/>
                    </w:rPr>
                    <w:t>石油类、SS</w:t>
                  </w:r>
                </w:p>
              </w:tc>
            </w:tr>
            <w:tr w14:paraId="0110F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45E556CD">
                  <w:pPr>
                    <w:pStyle w:val="24"/>
                    <w:rPr>
                      <w:rFonts w:hint="default" w:ascii="Times New Roman" w:hAnsi="Times New Roman" w:cs="Times New Roman"/>
                    </w:rPr>
                  </w:pPr>
                </w:p>
              </w:tc>
              <w:tc>
                <w:tcPr>
                  <w:tcW w:w="691" w:type="dxa"/>
                  <w:vMerge w:val="restart"/>
                  <w:vAlign w:val="center"/>
                </w:tcPr>
                <w:p w14:paraId="40C4B969">
                  <w:pPr>
                    <w:pStyle w:val="24"/>
                    <w:rPr>
                      <w:rFonts w:hint="default" w:ascii="Times New Roman" w:hAnsi="Times New Roman" w:cs="Times New Roman"/>
                    </w:rPr>
                  </w:pPr>
                  <w:r>
                    <w:rPr>
                      <w:rFonts w:hint="default" w:ascii="Times New Roman" w:hAnsi="Times New Roman" w:cs="Times New Roman"/>
                    </w:rPr>
                    <w:t>废气</w:t>
                  </w:r>
                </w:p>
              </w:tc>
              <w:tc>
                <w:tcPr>
                  <w:tcW w:w="2147" w:type="dxa"/>
                  <w:vAlign w:val="center"/>
                </w:tcPr>
                <w:p w14:paraId="6EF1D366">
                  <w:pPr>
                    <w:pStyle w:val="24"/>
                    <w:rPr>
                      <w:rFonts w:hint="default" w:ascii="Times New Roman" w:hAnsi="Times New Roman" w:cs="Times New Roman"/>
                    </w:rPr>
                  </w:pPr>
                  <w:r>
                    <w:rPr>
                      <w:rFonts w:hint="default" w:ascii="Times New Roman" w:hAnsi="Times New Roman" w:cs="Times New Roman"/>
                    </w:rPr>
                    <w:t>场地平整、设备安装</w:t>
                  </w:r>
                </w:p>
              </w:tc>
              <w:tc>
                <w:tcPr>
                  <w:tcW w:w="1815" w:type="dxa"/>
                  <w:vAlign w:val="center"/>
                </w:tcPr>
                <w:p w14:paraId="771D965E">
                  <w:pPr>
                    <w:pStyle w:val="24"/>
                    <w:rPr>
                      <w:rFonts w:hint="default" w:ascii="Times New Roman" w:hAnsi="Times New Roman" w:cs="Times New Roman"/>
                    </w:rPr>
                  </w:pPr>
                  <w:r>
                    <w:rPr>
                      <w:rFonts w:hint="default" w:ascii="Times New Roman" w:hAnsi="Times New Roman" w:cs="Times New Roman"/>
                    </w:rPr>
                    <w:t>粉尘</w:t>
                  </w:r>
                </w:p>
              </w:tc>
              <w:tc>
                <w:tcPr>
                  <w:tcW w:w="2524" w:type="dxa"/>
                  <w:vAlign w:val="center"/>
                </w:tcPr>
                <w:p w14:paraId="66A57BA5">
                  <w:pPr>
                    <w:pStyle w:val="24"/>
                    <w:rPr>
                      <w:rFonts w:hint="default" w:ascii="Times New Roman" w:hAnsi="Times New Roman" w:cs="Times New Roman"/>
                    </w:rPr>
                  </w:pPr>
                  <w:r>
                    <w:rPr>
                      <w:rFonts w:hint="default" w:ascii="Times New Roman" w:hAnsi="Times New Roman" w:cs="Times New Roman"/>
                    </w:rPr>
                    <w:t>颗粒物</w:t>
                  </w:r>
                </w:p>
              </w:tc>
            </w:tr>
            <w:tr w14:paraId="592AE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076FF967">
                  <w:pPr>
                    <w:pStyle w:val="24"/>
                    <w:rPr>
                      <w:rFonts w:hint="default" w:ascii="Times New Roman" w:hAnsi="Times New Roman" w:cs="Times New Roman"/>
                    </w:rPr>
                  </w:pPr>
                </w:p>
              </w:tc>
              <w:tc>
                <w:tcPr>
                  <w:tcW w:w="691" w:type="dxa"/>
                  <w:vMerge w:val="continue"/>
                  <w:vAlign w:val="center"/>
                </w:tcPr>
                <w:p w14:paraId="56B28573">
                  <w:pPr>
                    <w:pStyle w:val="24"/>
                    <w:rPr>
                      <w:rFonts w:hint="default" w:ascii="Times New Roman" w:hAnsi="Times New Roman" w:cs="Times New Roman"/>
                    </w:rPr>
                  </w:pPr>
                </w:p>
              </w:tc>
              <w:tc>
                <w:tcPr>
                  <w:tcW w:w="2147" w:type="dxa"/>
                  <w:vAlign w:val="center"/>
                </w:tcPr>
                <w:p w14:paraId="00372405">
                  <w:pPr>
                    <w:pStyle w:val="24"/>
                    <w:rPr>
                      <w:rFonts w:hint="default" w:ascii="Times New Roman" w:hAnsi="Times New Roman" w:cs="Times New Roman"/>
                    </w:rPr>
                  </w:pPr>
                  <w:r>
                    <w:rPr>
                      <w:rFonts w:hint="default" w:ascii="Times New Roman" w:hAnsi="Times New Roman" w:cs="Times New Roman"/>
                    </w:rPr>
                    <w:t>运输车辆及机械尾气</w:t>
                  </w:r>
                </w:p>
              </w:tc>
              <w:tc>
                <w:tcPr>
                  <w:tcW w:w="1815" w:type="dxa"/>
                  <w:vAlign w:val="center"/>
                </w:tcPr>
                <w:p w14:paraId="4ABEF036">
                  <w:pPr>
                    <w:pStyle w:val="24"/>
                    <w:rPr>
                      <w:rFonts w:hint="default" w:ascii="Times New Roman" w:hAnsi="Times New Roman" w:cs="Times New Roman"/>
                    </w:rPr>
                  </w:pPr>
                  <w:r>
                    <w:rPr>
                      <w:rFonts w:hint="default" w:ascii="Times New Roman" w:hAnsi="Times New Roman" w:cs="Times New Roman"/>
                    </w:rPr>
                    <w:t>汽车尾气</w:t>
                  </w:r>
                </w:p>
              </w:tc>
              <w:tc>
                <w:tcPr>
                  <w:tcW w:w="2524" w:type="dxa"/>
                  <w:vAlign w:val="center"/>
                </w:tcPr>
                <w:p w14:paraId="2BEB2D73">
                  <w:pPr>
                    <w:pStyle w:val="24"/>
                    <w:rPr>
                      <w:rFonts w:hint="default" w:ascii="Times New Roman" w:hAnsi="Times New Roman" w:cs="Times New Roman"/>
                    </w:rPr>
                  </w:pPr>
                  <w:r>
                    <w:rPr>
                      <w:rFonts w:hint="default" w:ascii="Times New Roman" w:hAnsi="Times New Roman" w:cs="Times New Roman"/>
                    </w:rPr>
                    <w:t>SO</w:t>
                  </w:r>
                  <w:r>
                    <w:rPr>
                      <w:rFonts w:hint="default" w:ascii="Times New Roman" w:hAnsi="Times New Roman" w:cs="Times New Roman"/>
                      <w:vertAlign w:val="subscript"/>
                    </w:rPr>
                    <w:t>2</w:t>
                  </w:r>
                  <w:r>
                    <w:rPr>
                      <w:rFonts w:hint="default" w:ascii="Times New Roman" w:hAnsi="Times New Roman" w:cs="Times New Roman"/>
                    </w:rPr>
                    <w:t>、NO</w:t>
                  </w:r>
                  <w:r>
                    <w:rPr>
                      <w:rFonts w:hint="default" w:ascii="Times New Roman" w:hAnsi="Times New Roman" w:cs="Times New Roman"/>
                      <w:vertAlign w:val="subscript"/>
                    </w:rPr>
                    <w:t>X</w:t>
                  </w:r>
                  <w:r>
                    <w:rPr>
                      <w:rFonts w:hint="default" w:ascii="Times New Roman" w:hAnsi="Times New Roman" w:cs="Times New Roman"/>
                    </w:rPr>
                    <w:t>、CO、烃类等</w:t>
                  </w:r>
                </w:p>
              </w:tc>
            </w:tr>
            <w:tr w14:paraId="14264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7E04A61B">
                  <w:pPr>
                    <w:pStyle w:val="24"/>
                    <w:rPr>
                      <w:rFonts w:hint="default" w:ascii="Times New Roman" w:hAnsi="Times New Roman" w:cs="Times New Roman"/>
                    </w:rPr>
                  </w:pPr>
                </w:p>
              </w:tc>
              <w:tc>
                <w:tcPr>
                  <w:tcW w:w="691" w:type="dxa"/>
                  <w:vMerge w:val="restart"/>
                  <w:vAlign w:val="center"/>
                </w:tcPr>
                <w:p w14:paraId="6E796BF9">
                  <w:pPr>
                    <w:pStyle w:val="24"/>
                    <w:rPr>
                      <w:rFonts w:hint="default" w:ascii="Times New Roman" w:hAnsi="Times New Roman" w:cs="Times New Roman"/>
                    </w:rPr>
                  </w:pPr>
                  <w:r>
                    <w:rPr>
                      <w:rFonts w:hint="default" w:ascii="Times New Roman" w:hAnsi="Times New Roman" w:cs="Times New Roman"/>
                    </w:rPr>
                    <w:t>固废</w:t>
                  </w:r>
                </w:p>
              </w:tc>
              <w:tc>
                <w:tcPr>
                  <w:tcW w:w="2147" w:type="dxa"/>
                  <w:vAlign w:val="center"/>
                </w:tcPr>
                <w:p w14:paraId="5F988CA0">
                  <w:pPr>
                    <w:pStyle w:val="24"/>
                    <w:rPr>
                      <w:rFonts w:hint="default" w:ascii="Times New Roman" w:hAnsi="Times New Roman" w:cs="Times New Roman"/>
                    </w:rPr>
                  </w:pPr>
                  <w:r>
                    <w:rPr>
                      <w:rFonts w:hint="default" w:ascii="Times New Roman" w:hAnsi="Times New Roman" w:cs="Times New Roman"/>
                    </w:rPr>
                    <w:t>施工机械</w:t>
                  </w:r>
                </w:p>
              </w:tc>
              <w:tc>
                <w:tcPr>
                  <w:tcW w:w="1815" w:type="dxa"/>
                  <w:vAlign w:val="center"/>
                </w:tcPr>
                <w:p w14:paraId="0FF626E9">
                  <w:pPr>
                    <w:pStyle w:val="24"/>
                    <w:rPr>
                      <w:rFonts w:hint="default" w:ascii="Times New Roman" w:hAnsi="Times New Roman" w:cs="Times New Roman"/>
                    </w:rPr>
                  </w:pPr>
                  <w:r>
                    <w:rPr>
                      <w:rFonts w:hint="default" w:ascii="Times New Roman" w:hAnsi="Times New Roman" w:cs="Times New Roman"/>
                    </w:rPr>
                    <w:t>噪声</w:t>
                  </w:r>
                </w:p>
              </w:tc>
              <w:tc>
                <w:tcPr>
                  <w:tcW w:w="2524" w:type="dxa"/>
                  <w:vAlign w:val="center"/>
                </w:tcPr>
                <w:p w14:paraId="20B9019A">
                  <w:pPr>
                    <w:pStyle w:val="24"/>
                    <w:rPr>
                      <w:rFonts w:hint="default" w:ascii="Times New Roman" w:hAnsi="Times New Roman" w:cs="Times New Roman"/>
                    </w:rPr>
                  </w:pPr>
                  <w:r>
                    <w:rPr>
                      <w:rFonts w:hint="default" w:ascii="Times New Roman" w:hAnsi="Times New Roman" w:cs="Times New Roman"/>
                    </w:rPr>
                    <w:t>Leq</w:t>
                  </w:r>
                </w:p>
              </w:tc>
            </w:tr>
            <w:tr w14:paraId="11EA9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00BB506D">
                  <w:pPr>
                    <w:pStyle w:val="24"/>
                    <w:rPr>
                      <w:rFonts w:hint="default" w:ascii="Times New Roman" w:hAnsi="Times New Roman" w:cs="Times New Roman"/>
                    </w:rPr>
                  </w:pPr>
                </w:p>
              </w:tc>
              <w:tc>
                <w:tcPr>
                  <w:tcW w:w="691" w:type="dxa"/>
                  <w:vMerge w:val="continue"/>
                  <w:vAlign w:val="center"/>
                </w:tcPr>
                <w:p w14:paraId="43704A05">
                  <w:pPr>
                    <w:pStyle w:val="24"/>
                    <w:rPr>
                      <w:rFonts w:hint="default" w:ascii="Times New Roman" w:hAnsi="Times New Roman" w:cs="Times New Roman"/>
                    </w:rPr>
                  </w:pPr>
                </w:p>
              </w:tc>
              <w:tc>
                <w:tcPr>
                  <w:tcW w:w="2147" w:type="dxa"/>
                  <w:vAlign w:val="center"/>
                </w:tcPr>
                <w:p w14:paraId="47EA1DE7">
                  <w:pPr>
                    <w:pStyle w:val="24"/>
                    <w:rPr>
                      <w:rFonts w:hint="default" w:ascii="Times New Roman" w:hAnsi="Times New Roman" w:cs="Times New Roman"/>
                    </w:rPr>
                  </w:pPr>
                  <w:r>
                    <w:rPr>
                      <w:rFonts w:hint="default" w:ascii="Times New Roman" w:hAnsi="Times New Roman" w:cs="Times New Roman"/>
                    </w:rPr>
                    <w:t>运输车辆</w:t>
                  </w:r>
                </w:p>
              </w:tc>
              <w:tc>
                <w:tcPr>
                  <w:tcW w:w="1815" w:type="dxa"/>
                  <w:vAlign w:val="center"/>
                </w:tcPr>
                <w:p w14:paraId="6AB9B39C">
                  <w:pPr>
                    <w:pStyle w:val="24"/>
                    <w:rPr>
                      <w:rFonts w:hint="default" w:ascii="Times New Roman" w:hAnsi="Times New Roman" w:cs="Times New Roman"/>
                    </w:rPr>
                  </w:pPr>
                  <w:r>
                    <w:rPr>
                      <w:rFonts w:hint="default" w:ascii="Times New Roman" w:hAnsi="Times New Roman" w:cs="Times New Roman"/>
                    </w:rPr>
                    <w:t>噪声</w:t>
                  </w:r>
                </w:p>
              </w:tc>
              <w:tc>
                <w:tcPr>
                  <w:tcW w:w="2524" w:type="dxa"/>
                  <w:vAlign w:val="center"/>
                </w:tcPr>
                <w:p w14:paraId="3424ECB5">
                  <w:pPr>
                    <w:pStyle w:val="24"/>
                    <w:rPr>
                      <w:rFonts w:hint="default" w:ascii="Times New Roman" w:hAnsi="Times New Roman" w:cs="Times New Roman"/>
                    </w:rPr>
                  </w:pPr>
                  <w:r>
                    <w:rPr>
                      <w:rFonts w:hint="default" w:ascii="Times New Roman" w:hAnsi="Times New Roman" w:cs="Times New Roman"/>
                    </w:rPr>
                    <w:t>Leq</w:t>
                  </w:r>
                </w:p>
              </w:tc>
            </w:tr>
            <w:tr w14:paraId="6909F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7D283E44">
                  <w:pPr>
                    <w:pStyle w:val="24"/>
                    <w:rPr>
                      <w:rFonts w:hint="default" w:ascii="Times New Roman" w:hAnsi="Times New Roman" w:cs="Times New Roman"/>
                    </w:rPr>
                  </w:pPr>
                </w:p>
              </w:tc>
              <w:tc>
                <w:tcPr>
                  <w:tcW w:w="691" w:type="dxa"/>
                  <w:vMerge w:val="restart"/>
                  <w:vAlign w:val="center"/>
                </w:tcPr>
                <w:p w14:paraId="62B4F769">
                  <w:pPr>
                    <w:pStyle w:val="24"/>
                    <w:rPr>
                      <w:rFonts w:hint="default" w:ascii="Times New Roman" w:hAnsi="Times New Roman" w:cs="Times New Roman"/>
                    </w:rPr>
                  </w:pPr>
                  <w:r>
                    <w:rPr>
                      <w:rFonts w:hint="default" w:ascii="Times New Roman" w:hAnsi="Times New Roman" w:cs="Times New Roman"/>
                    </w:rPr>
                    <w:t>噪声</w:t>
                  </w:r>
                </w:p>
              </w:tc>
              <w:tc>
                <w:tcPr>
                  <w:tcW w:w="2147" w:type="dxa"/>
                  <w:vAlign w:val="center"/>
                </w:tcPr>
                <w:p w14:paraId="11B09E5C">
                  <w:pPr>
                    <w:pStyle w:val="24"/>
                    <w:rPr>
                      <w:rFonts w:hint="default" w:ascii="Times New Roman" w:hAnsi="Times New Roman" w:cs="Times New Roman"/>
                    </w:rPr>
                  </w:pPr>
                  <w:r>
                    <w:rPr>
                      <w:rFonts w:hint="default" w:ascii="Times New Roman" w:hAnsi="Times New Roman" w:cs="Times New Roman"/>
                    </w:rPr>
                    <w:t>施工生活</w:t>
                  </w:r>
                </w:p>
              </w:tc>
              <w:tc>
                <w:tcPr>
                  <w:tcW w:w="1815" w:type="dxa"/>
                  <w:vAlign w:val="center"/>
                </w:tcPr>
                <w:p w14:paraId="1B91CB41">
                  <w:pPr>
                    <w:pStyle w:val="24"/>
                    <w:rPr>
                      <w:rFonts w:hint="default" w:ascii="Times New Roman" w:hAnsi="Times New Roman" w:cs="Times New Roman"/>
                    </w:rPr>
                  </w:pPr>
                  <w:r>
                    <w:rPr>
                      <w:rFonts w:hint="default" w:ascii="Times New Roman" w:hAnsi="Times New Roman" w:cs="Times New Roman"/>
                    </w:rPr>
                    <w:t>生活垃圾</w:t>
                  </w:r>
                </w:p>
              </w:tc>
              <w:tc>
                <w:tcPr>
                  <w:tcW w:w="2524" w:type="dxa"/>
                  <w:vAlign w:val="center"/>
                </w:tcPr>
                <w:p w14:paraId="2674B8EB">
                  <w:pPr>
                    <w:pStyle w:val="24"/>
                    <w:rPr>
                      <w:rFonts w:hint="default" w:ascii="Times New Roman" w:hAnsi="Times New Roman" w:cs="Times New Roman"/>
                    </w:rPr>
                  </w:pPr>
                  <w:r>
                    <w:rPr>
                      <w:rFonts w:hint="default" w:ascii="Times New Roman" w:hAnsi="Times New Roman" w:cs="Times New Roman"/>
                    </w:rPr>
                    <w:t>生活垃圾</w:t>
                  </w:r>
                </w:p>
              </w:tc>
            </w:tr>
            <w:tr w14:paraId="0DE07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6AE13CAA">
                  <w:pPr>
                    <w:pStyle w:val="24"/>
                    <w:rPr>
                      <w:rFonts w:hint="default" w:ascii="Times New Roman" w:hAnsi="Times New Roman" w:cs="Times New Roman"/>
                    </w:rPr>
                  </w:pPr>
                </w:p>
              </w:tc>
              <w:tc>
                <w:tcPr>
                  <w:tcW w:w="691" w:type="dxa"/>
                  <w:vMerge w:val="continue"/>
                  <w:vAlign w:val="center"/>
                </w:tcPr>
                <w:p w14:paraId="28E5FE75">
                  <w:pPr>
                    <w:pStyle w:val="24"/>
                    <w:rPr>
                      <w:rFonts w:hint="default" w:ascii="Times New Roman" w:hAnsi="Times New Roman" w:cs="Times New Roman"/>
                    </w:rPr>
                  </w:pPr>
                </w:p>
              </w:tc>
              <w:tc>
                <w:tcPr>
                  <w:tcW w:w="2147" w:type="dxa"/>
                  <w:vAlign w:val="center"/>
                </w:tcPr>
                <w:p w14:paraId="59FD5B8F">
                  <w:pPr>
                    <w:pStyle w:val="24"/>
                    <w:rPr>
                      <w:rFonts w:hint="default" w:ascii="Times New Roman" w:hAnsi="Times New Roman" w:cs="Times New Roman"/>
                    </w:rPr>
                  </w:pPr>
                  <w:r>
                    <w:rPr>
                      <w:rFonts w:hint="default" w:ascii="Times New Roman" w:hAnsi="Times New Roman" w:cs="Times New Roman"/>
                    </w:rPr>
                    <w:t>设备安装</w:t>
                  </w:r>
                </w:p>
              </w:tc>
              <w:tc>
                <w:tcPr>
                  <w:tcW w:w="1815" w:type="dxa"/>
                  <w:vAlign w:val="center"/>
                </w:tcPr>
                <w:p w14:paraId="2162E87B">
                  <w:pPr>
                    <w:pStyle w:val="24"/>
                    <w:rPr>
                      <w:rFonts w:hint="default" w:ascii="Times New Roman" w:hAnsi="Times New Roman" w:cs="Times New Roman"/>
                    </w:rPr>
                  </w:pPr>
                  <w:r>
                    <w:rPr>
                      <w:rFonts w:hint="default" w:ascii="Times New Roman" w:hAnsi="Times New Roman" w:cs="Times New Roman"/>
                    </w:rPr>
                    <w:t>废弃包装材料</w:t>
                  </w:r>
                </w:p>
              </w:tc>
              <w:tc>
                <w:tcPr>
                  <w:tcW w:w="2524" w:type="dxa"/>
                  <w:vAlign w:val="center"/>
                </w:tcPr>
                <w:p w14:paraId="51F50582">
                  <w:pPr>
                    <w:pStyle w:val="24"/>
                    <w:rPr>
                      <w:rFonts w:hint="default" w:ascii="Times New Roman" w:hAnsi="Times New Roman" w:cs="Times New Roman"/>
                    </w:rPr>
                  </w:pPr>
                  <w:r>
                    <w:rPr>
                      <w:rFonts w:hint="default" w:ascii="Times New Roman" w:hAnsi="Times New Roman" w:cs="Times New Roman"/>
                    </w:rPr>
                    <w:t>废弃包装材料</w:t>
                  </w:r>
                </w:p>
              </w:tc>
            </w:tr>
            <w:tr w14:paraId="66BA8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restart"/>
                  <w:vAlign w:val="center"/>
                </w:tcPr>
                <w:p w14:paraId="48D18282">
                  <w:pPr>
                    <w:pStyle w:val="24"/>
                    <w:rPr>
                      <w:rFonts w:hint="default" w:ascii="Times New Roman" w:hAnsi="Times New Roman" w:cs="Times New Roman"/>
                    </w:rPr>
                  </w:pPr>
                  <w:r>
                    <w:rPr>
                      <w:rFonts w:hint="default" w:ascii="Times New Roman" w:hAnsi="Times New Roman" w:cs="Times New Roman"/>
                    </w:rPr>
                    <w:t>营运期</w:t>
                  </w:r>
                </w:p>
              </w:tc>
              <w:tc>
                <w:tcPr>
                  <w:tcW w:w="691" w:type="dxa"/>
                  <w:vMerge w:val="restart"/>
                  <w:vAlign w:val="center"/>
                </w:tcPr>
                <w:p w14:paraId="129094F0">
                  <w:pPr>
                    <w:pStyle w:val="24"/>
                    <w:rPr>
                      <w:rFonts w:hint="default" w:ascii="Times New Roman" w:hAnsi="Times New Roman" w:cs="Times New Roman"/>
                    </w:rPr>
                  </w:pPr>
                  <w:r>
                    <w:rPr>
                      <w:rFonts w:hint="default" w:ascii="Times New Roman" w:hAnsi="Times New Roman" w:cs="Times New Roman"/>
                    </w:rPr>
                    <w:t>废水</w:t>
                  </w:r>
                </w:p>
              </w:tc>
              <w:tc>
                <w:tcPr>
                  <w:tcW w:w="2147" w:type="dxa"/>
                  <w:vAlign w:val="center"/>
                </w:tcPr>
                <w:p w14:paraId="7741983D">
                  <w:pPr>
                    <w:pStyle w:val="24"/>
                    <w:rPr>
                      <w:rFonts w:hint="default" w:ascii="Times New Roman" w:hAnsi="Times New Roman" w:eastAsia="宋体" w:cs="Times New Roman"/>
                      <w:lang w:eastAsia="zh-CN"/>
                    </w:rPr>
                  </w:pPr>
                  <w:r>
                    <w:rPr>
                      <w:rFonts w:hint="default" w:ascii="Times New Roman" w:hAnsi="Times New Roman" w:cs="Times New Roman"/>
                      <w:lang w:eastAsia="zh-CN"/>
                    </w:rPr>
                    <w:t>超声波清洗</w:t>
                  </w:r>
                </w:p>
              </w:tc>
              <w:tc>
                <w:tcPr>
                  <w:tcW w:w="1815" w:type="dxa"/>
                  <w:vAlign w:val="center"/>
                </w:tcPr>
                <w:p w14:paraId="2C033544">
                  <w:pPr>
                    <w:pStyle w:val="24"/>
                    <w:rPr>
                      <w:rFonts w:hint="default" w:ascii="Times New Roman" w:hAnsi="Times New Roman" w:cs="Times New Roman"/>
                    </w:rPr>
                  </w:pPr>
                  <w:r>
                    <w:rPr>
                      <w:rFonts w:hint="default" w:ascii="Times New Roman" w:hAnsi="Times New Roman" w:cs="Times New Roman"/>
                      <w:lang w:eastAsia="zh-CN"/>
                    </w:rPr>
                    <w:t>超声波清洗</w:t>
                  </w:r>
                  <w:r>
                    <w:rPr>
                      <w:rFonts w:hint="default" w:ascii="Times New Roman" w:hAnsi="Times New Roman" w:cs="Times New Roman"/>
                    </w:rPr>
                    <w:t>废水</w:t>
                  </w:r>
                </w:p>
              </w:tc>
              <w:tc>
                <w:tcPr>
                  <w:tcW w:w="2524" w:type="dxa"/>
                  <w:vAlign w:val="center"/>
                </w:tcPr>
                <w:p w14:paraId="0B273498">
                  <w:pPr>
                    <w:pStyle w:val="24"/>
                    <w:rPr>
                      <w:rFonts w:hint="default" w:ascii="Times New Roman" w:hAnsi="Times New Roman" w:eastAsia="宋体" w:cs="Times New Roman"/>
                      <w:lang w:val="en-US" w:eastAsia="zh-CN"/>
                    </w:rPr>
                  </w:pPr>
                  <w:r>
                    <w:rPr>
                      <w:rFonts w:hint="default" w:ascii="Times New Roman" w:hAnsi="Times New Roman" w:cs="Times New Roman"/>
                    </w:rPr>
                    <w:t>COD、</w:t>
                  </w:r>
                  <w:r>
                    <w:rPr>
                      <w:rFonts w:hint="default" w:ascii="Times New Roman" w:hAnsi="Times New Roman" w:cs="Times New Roman"/>
                      <w:lang w:val="en-US" w:eastAsia="zh-CN"/>
                    </w:rPr>
                    <w:t>SS、石油类</w:t>
                  </w:r>
                </w:p>
              </w:tc>
            </w:tr>
            <w:tr w14:paraId="79BB1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0A0CE8E5">
                  <w:pPr>
                    <w:pStyle w:val="24"/>
                    <w:rPr>
                      <w:rFonts w:hint="default" w:ascii="Times New Roman" w:hAnsi="Times New Roman" w:cs="Times New Roman"/>
                    </w:rPr>
                  </w:pPr>
                </w:p>
              </w:tc>
              <w:tc>
                <w:tcPr>
                  <w:tcW w:w="691" w:type="dxa"/>
                  <w:vMerge w:val="continue"/>
                  <w:vAlign w:val="center"/>
                </w:tcPr>
                <w:p w14:paraId="147BC92B">
                  <w:pPr>
                    <w:pStyle w:val="24"/>
                    <w:rPr>
                      <w:rFonts w:hint="default" w:ascii="Times New Roman" w:hAnsi="Times New Roman" w:cs="Times New Roman"/>
                    </w:rPr>
                  </w:pPr>
                </w:p>
              </w:tc>
              <w:tc>
                <w:tcPr>
                  <w:tcW w:w="2147" w:type="dxa"/>
                  <w:vAlign w:val="center"/>
                </w:tcPr>
                <w:p w14:paraId="119FB47E">
                  <w:pPr>
                    <w:pStyle w:val="24"/>
                    <w:rPr>
                      <w:rFonts w:hint="default" w:ascii="Times New Roman" w:hAnsi="Times New Roman" w:eastAsia="宋体" w:cs="Times New Roman"/>
                      <w:lang w:eastAsia="zh-CN"/>
                    </w:rPr>
                  </w:pPr>
                  <w:r>
                    <w:rPr>
                      <w:rFonts w:hint="default" w:ascii="Times New Roman" w:hAnsi="Times New Roman" w:cs="Times New Roman"/>
                      <w:lang w:eastAsia="zh-CN"/>
                    </w:rPr>
                    <w:t>保洁</w:t>
                  </w:r>
                </w:p>
              </w:tc>
              <w:tc>
                <w:tcPr>
                  <w:tcW w:w="1815" w:type="dxa"/>
                  <w:vAlign w:val="center"/>
                </w:tcPr>
                <w:p w14:paraId="746BA1C0">
                  <w:pPr>
                    <w:pStyle w:val="24"/>
                    <w:rPr>
                      <w:rFonts w:hint="default" w:ascii="Times New Roman" w:hAnsi="Times New Roman" w:cs="Times New Roman"/>
                    </w:rPr>
                  </w:pPr>
                  <w:r>
                    <w:rPr>
                      <w:rFonts w:hint="default" w:ascii="Times New Roman" w:hAnsi="Times New Roman" w:cs="Times New Roman"/>
                      <w:lang w:eastAsia="zh-CN"/>
                    </w:rPr>
                    <w:t>地面</w:t>
                  </w:r>
                  <w:r>
                    <w:rPr>
                      <w:rFonts w:hint="default" w:ascii="Times New Roman" w:hAnsi="Times New Roman" w:cs="Times New Roman"/>
                    </w:rPr>
                    <w:t>清洗废水</w:t>
                  </w:r>
                </w:p>
              </w:tc>
              <w:tc>
                <w:tcPr>
                  <w:tcW w:w="2524" w:type="dxa"/>
                  <w:vAlign w:val="center"/>
                </w:tcPr>
                <w:p w14:paraId="1D92AD3D">
                  <w:pPr>
                    <w:pStyle w:val="24"/>
                    <w:rPr>
                      <w:rFonts w:hint="default" w:ascii="Times New Roman" w:hAnsi="Times New Roman" w:cs="Times New Roman"/>
                    </w:rPr>
                  </w:pPr>
                  <w:r>
                    <w:rPr>
                      <w:rFonts w:hint="default" w:ascii="Times New Roman" w:hAnsi="Times New Roman" w:cs="Times New Roman"/>
                    </w:rPr>
                    <w:t>COD、石油类</w:t>
                  </w:r>
                </w:p>
              </w:tc>
            </w:tr>
            <w:tr w14:paraId="642B5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3829A65A">
                  <w:pPr>
                    <w:pStyle w:val="24"/>
                    <w:rPr>
                      <w:rFonts w:hint="default" w:ascii="Times New Roman" w:hAnsi="Times New Roman" w:cs="Times New Roman"/>
                    </w:rPr>
                  </w:pPr>
                </w:p>
              </w:tc>
              <w:tc>
                <w:tcPr>
                  <w:tcW w:w="691" w:type="dxa"/>
                  <w:vMerge w:val="continue"/>
                  <w:vAlign w:val="center"/>
                </w:tcPr>
                <w:p w14:paraId="31B8E357">
                  <w:pPr>
                    <w:pStyle w:val="24"/>
                    <w:rPr>
                      <w:rFonts w:hint="default" w:ascii="Times New Roman" w:hAnsi="Times New Roman" w:cs="Times New Roman"/>
                    </w:rPr>
                  </w:pPr>
                </w:p>
              </w:tc>
              <w:tc>
                <w:tcPr>
                  <w:tcW w:w="2147" w:type="dxa"/>
                  <w:vAlign w:val="center"/>
                </w:tcPr>
                <w:p w14:paraId="0ECE3659">
                  <w:pPr>
                    <w:pStyle w:val="24"/>
                    <w:rPr>
                      <w:rFonts w:hint="default" w:ascii="Times New Roman" w:hAnsi="Times New Roman" w:cs="Times New Roman"/>
                    </w:rPr>
                  </w:pPr>
                  <w:r>
                    <w:rPr>
                      <w:rFonts w:hint="default" w:ascii="Times New Roman" w:hAnsi="Times New Roman" w:cs="Times New Roman"/>
                    </w:rPr>
                    <w:t>职工生活</w:t>
                  </w:r>
                </w:p>
              </w:tc>
              <w:tc>
                <w:tcPr>
                  <w:tcW w:w="1815" w:type="dxa"/>
                  <w:vAlign w:val="center"/>
                </w:tcPr>
                <w:p w14:paraId="0A51DE3C">
                  <w:pPr>
                    <w:pStyle w:val="24"/>
                    <w:rPr>
                      <w:rFonts w:hint="default" w:ascii="Times New Roman" w:hAnsi="Times New Roman" w:cs="Times New Roman"/>
                    </w:rPr>
                  </w:pPr>
                  <w:r>
                    <w:rPr>
                      <w:rFonts w:hint="default" w:ascii="Times New Roman" w:hAnsi="Times New Roman" w:cs="Times New Roman"/>
                    </w:rPr>
                    <w:t>生活污水</w:t>
                  </w:r>
                </w:p>
              </w:tc>
              <w:tc>
                <w:tcPr>
                  <w:tcW w:w="2524" w:type="dxa"/>
                  <w:vAlign w:val="center"/>
                </w:tcPr>
                <w:p w14:paraId="0227B3DC">
                  <w:pPr>
                    <w:pStyle w:val="24"/>
                    <w:rPr>
                      <w:rFonts w:hint="default" w:ascii="Times New Roman" w:hAnsi="Times New Roman" w:cs="Times New Roman"/>
                    </w:rPr>
                  </w:pPr>
                  <w:r>
                    <w:rPr>
                      <w:rFonts w:hint="default" w:ascii="Times New Roman" w:hAnsi="Times New Roman" w:cs="Times New Roman"/>
                    </w:rPr>
                    <w:t>COD、氨氮</w:t>
                  </w:r>
                </w:p>
              </w:tc>
            </w:tr>
            <w:tr w14:paraId="4ADE3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7E55DAFF">
                  <w:pPr>
                    <w:pStyle w:val="24"/>
                    <w:rPr>
                      <w:rFonts w:hint="default" w:ascii="Times New Roman" w:hAnsi="Times New Roman" w:cs="Times New Roman"/>
                    </w:rPr>
                  </w:pPr>
                </w:p>
              </w:tc>
              <w:tc>
                <w:tcPr>
                  <w:tcW w:w="691" w:type="dxa"/>
                  <w:vMerge w:val="restart"/>
                  <w:vAlign w:val="center"/>
                </w:tcPr>
                <w:p w14:paraId="7247AD3F">
                  <w:pPr>
                    <w:pStyle w:val="24"/>
                    <w:rPr>
                      <w:rFonts w:hint="default" w:ascii="Times New Roman" w:hAnsi="Times New Roman" w:cs="Times New Roman"/>
                    </w:rPr>
                  </w:pPr>
                  <w:r>
                    <w:rPr>
                      <w:rFonts w:hint="default" w:ascii="Times New Roman" w:hAnsi="Times New Roman" w:cs="Times New Roman"/>
                    </w:rPr>
                    <w:t>废气</w:t>
                  </w:r>
                </w:p>
              </w:tc>
              <w:tc>
                <w:tcPr>
                  <w:tcW w:w="2147" w:type="dxa"/>
                  <w:vAlign w:val="center"/>
                </w:tcPr>
                <w:p w14:paraId="345556CF">
                  <w:pPr>
                    <w:pStyle w:val="24"/>
                    <w:rPr>
                      <w:rFonts w:hint="default" w:ascii="Times New Roman" w:hAnsi="Times New Roman" w:eastAsia="宋体" w:cs="Times New Roman"/>
                      <w:lang w:eastAsia="zh-CN"/>
                    </w:rPr>
                  </w:pPr>
                  <w:r>
                    <w:rPr>
                      <w:rFonts w:hint="default" w:ascii="Times New Roman" w:hAnsi="Times New Roman" w:cs="Times New Roman"/>
                      <w:lang w:eastAsia="zh-CN"/>
                    </w:rPr>
                    <w:t>机加工</w:t>
                  </w:r>
                </w:p>
              </w:tc>
              <w:tc>
                <w:tcPr>
                  <w:tcW w:w="1815" w:type="dxa"/>
                  <w:vAlign w:val="center"/>
                </w:tcPr>
                <w:p w14:paraId="133C2BC4">
                  <w:pPr>
                    <w:pStyle w:val="24"/>
                    <w:rPr>
                      <w:rFonts w:hint="default" w:ascii="Times New Roman" w:hAnsi="Times New Roman" w:cs="Times New Roman"/>
                    </w:rPr>
                  </w:pPr>
                  <w:r>
                    <w:rPr>
                      <w:rFonts w:hint="default" w:ascii="Times New Roman" w:hAnsi="Times New Roman" w:cs="Times New Roman"/>
                      <w:lang w:eastAsia="zh-CN"/>
                    </w:rPr>
                    <w:t>磨削</w:t>
                  </w:r>
                  <w:r>
                    <w:rPr>
                      <w:rFonts w:hint="default" w:ascii="Times New Roman" w:hAnsi="Times New Roman" w:cs="Times New Roman"/>
                    </w:rPr>
                    <w:t>废气</w:t>
                  </w:r>
                </w:p>
              </w:tc>
              <w:tc>
                <w:tcPr>
                  <w:tcW w:w="2524" w:type="dxa"/>
                  <w:vAlign w:val="center"/>
                </w:tcPr>
                <w:p w14:paraId="1CE6153E">
                  <w:pPr>
                    <w:pStyle w:val="24"/>
                    <w:rPr>
                      <w:rFonts w:hint="default" w:ascii="Times New Roman" w:hAnsi="Times New Roman" w:eastAsia="宋体" w:cs="Times New Roman"/>
                      <w:lang w:eastAsia="zh-CN"/>
                    </w:rPr>
                  </w:pPr>
                  <w:r>
                    <w:rPr>
                      <w:rFonts w:hint="default" w:ascii="Times New Roman" w:hAnsi="Times New Roman" w:cs="Times New Roman"/>
                      <w:lang w:eastAsia="zh-CN"/>
                    </w:rPr>
                    <w:t>非甲烷总烃</w:t>
                  </w:r>
                </w:p>
              </w:tc>
            </w:tr>
            <w:tr w14:paraId="2A738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691011F2">
                  <w:pPr>
                    <w:pStyle w:val="24"/>
                    <w:rPr>
                      <w:rFonts w:hint="default" w:ascii="Times New Roman" w:hAnsi="Times New Roman" w:cs="Times New Roman"/>
                    </w:rPr>
                  </w:pPr>
                </w:p>
              </w:tc>
              <w:tc>
                <w:tcPr>
                  <w:tcW w:w="691" w:type="dxa"/>
                  <w:vMerge w:val="continue"/>
                  <w:vAlign w:val="center"/>
                </w:tcPr>
                <w:p w14:paraId="57698B70">
                  <w:pPr>
                    <w:pStyle w:val="24"/>
                    <w:rPr>
                      <w:rFonts w:hint="default" w:ascii="Times New Roman" w:hAnsi="Times New Roman" w:cs="Times New Roman"/>
                    </w:rPr>
                  </w:pPr>
                </w:p>
              </w:tc>
              <w:tc>
                <w:tcPr>
                  <w:tcW w:w="2147" w:type="dxa"/>
                  <w:vAlign w:val="center"/>
                </w:tcPr>
                <w:p w14:paraId="76876F2B">
                  <w:pPr>
                    <w:pStyle w:val="24"/>
                    <w:rPr>
                      <w:rFonts w:hint="default" w:ascii="Times New Roman" w:hAnsi="Times New Roman" w:eastAsia="宋体" w:cs="Times New Roman"/>
                      <w:lang w:eastAsia="zh-CN"/>
                    </w:rPr>
                  </w:pPr>
                  <w:r>
                    <w:rPr>
                      <w:rFonts w:hint="default" w:ascii="Times New Roman" w:hAnsi="Times New Roman" w:cs="Times New Roman"/>
                      <w:lang w:eastAsia="zh-CN"/>
                    </w:rPr>
                    <w:t>抛光</w:t>
                  </w:r>
                </w:p>
              </w:tc>
              <w:tc>
                <w:tcPr>
                  <w:tcW w:w="1815" w:type="dxa"/>
                  <w:vAlign w:val="center"/>
                </w:tcPr>
                <w:p w14:paraId="09E4DB28">
                  <w:pPr>
                    <w:pStyle w:val="24"/>
                    <w:rPr>
                      <w:rFonts w:hint="default" w:ascii="Times New Roman" w:hAnsi="Times New Roman" w:eastAsia="宋体" w:cs="Times New Roman"/>
                      <w:lang w:eastAsia="zh-CN"/>
                    </w:rPr>
                  </w:pPr>
                  <w:r>
                    <w:rPr>
                      <w:rFonts w:hint="default" w:ascii="Times New Roman" w:hAnsi="Times New Roman" w:cs="Times New Roman"/>
                      <w:lang w:eastAsia="zh-CN"/>
                    </w:rPr>
                    <w:t>抛光废气</w:t>
                  </w:r>
                </w:p>
              </w:tc>
              <w:tc>
                <w:tcPr>
                  <w:tcW w:w="2524" w:type="dxa"/>
                  <w:vAlign w:val="center"/>
                </w:tcPr>
                <w:p w14:paraId="767916C3">
                  <w:pPr>
                    <w:pStyle w:val="24"/>
                    <w:rPr>
                      <w:rFonts w:hint="default" w:ascii="Times New Roman" w:hAnsi="Times New Roman" w:eastAsia="宋体" w:cs="Times New Roman"/>
                      <w:vertAlign w:val="subscript"/>
                      <w:lang w:eastAsia="zh-CN"/>
                    </w:rPr>
                  </w:pPr>
                  <w:r>
                    <w:rPr>
                      <w:rFonts w:hint="default" w:ascii="Times New Roman" w:hAnsi="Times New Roman" w:cs="Times New Roman"/>
                      <w:lang w:eastAsia="zh-CN"/>
                    </w:rPr>
                    <w:t>颗粒物</w:t>
                  </w:r>
                </w:p>
              </w:tc>
            </w:tr>
            <w:tr w14:paraId="1CA0E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42928EB1">
                  <w:pPr>
                    <w:pStyle w:val="24"/>
                    <w:rPr>
                      <w:rFonts w:hint="default" w:ascii="Times New Roman" w:hAnsi="Times New Roman" w:cs="Times New Roman"/>
                    </w:rPr>
                  </w:pPr>
                </w:p>
              </w:tc>
              <w:tc>
                <w:tcPr>
                  <w:tcW w:w="691" w:type="dxa"/>
                  <w:vMerge w:val="restart"/>
                  <w:vAlign w:val="center"/>
                </w:tcPr>
                <w:p w14:paraId="50DCBE11">
                  <w:pPr>
                    <w:pStyle w:val="24"/>
                    <w:rPr>
                      <w:rFonts w:hint="default" w:ascii="Times New Roman" w:hAnsi="Times New Roman" w:cs="Times New Roman"/>
                    </w:rPr>
                  </w:pPr>
                  <w:r>
                    <w:rPr>
                      <w:rFonts w:hint="default" w:ascii="Times New Roman" w:hAnsi="Times New Roman" w:cs="Times New Roman"/>
                    </w:rPr>
                    <w:t>固废</w:t>
                  </w:r>
                </w:p>
              </w:tc>
              <w:tc>
                <w:tcPr>
                  <w:tcW w:w="2147" w:type="dxa"/>
                  <w:vMerge w:val="restart"/>
                  <w:vAlign w:val="center"/>
                </w:tcPr>
                <w:p w14:paraId="0C99E1B0">
                  <w:pPr>
                    <w:pStyle w:val="24"/>
                    <w:rPr>
                      <w:rFonts w:hint="default" w:ascii="Times New Roman" w:hAnsi="Times New Roman" w:cs="Times New Roman"/>
                    </w:rPr>
                  </w:pPr>
                  <w:r>
                    <w:rPr>
                      <w:rFonts w:hint="default" w:ascii="Times New Roman" w:hAnsi="Times New Roman" w:cs="Times New Roman"/>
                    </w:rPr>
                    <w:t>机加工</w:t>
                  </w:r>
                </w:p>
              </w:tc>
              <w:tc>
                <w:tcPr>
                  <w:tcW w:w="1815" w:type="dxa"/>
                  <w:vAlign w:val="center"/>
                </w:tcPr>
                <w:p w14:paraId="3E1BB49C">
                  <w:pPr>
                    <w:pStyle w:val="24"/>
                    <w:rPr>
                      <w:rFonts w:hint="default" w:ascii="Times New Roman" w:hAnsi="Times New Roman" w:cs="Times New Roman"/>
                    </w:rPr>
                  </w:pPr>
                  <w:r>
                    <w:rPr>
                      <w:rFonts w:hint="default" w:ascii="Times New Roman" w:hAnsi="Times New Roman" w:cs="Times New Roman"/>
                    </w:rPr>
                    <w:t>铁屑、边角料</w:t>
                  </w:r>
                </w:p>
              </w:tc>
              <w:tc>
                <w:tcPr>
                  <w:tcW w:w="2524" w:type="dxa"/>
                  <w:vAlign w:val="center"/>
                </w:tcPr>
                <w:p w14:paraId="5A917421">
                  <w:pPr>
                    <w:pStyle w:val="24"/>
                    <w:rPr>
                      <w:rFonts w:hint="default" w:ascii="Times New Roman" w:hAnsi="Times New Roman" w:cs="Times New Roman"/>
                    </w:rPr>
                  </w:pPr>
                  <w:r>
                    <w:rPr>
                      <w:rFonts w:hint="default" w:ascii="Times New Roman" w:hAnsi="Times New Roman" w:cs="Times New Roman"/>
                    </w:rPr>
                    <w:t>铁屑、边角料</w:t>
                  </w:r>
                </w:p>
              </w:tc>
            </w:tr>
            <w:tr w14:paraId="37F4D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09470CA3">
                  <w:pPr>
                    <w:pStyle w:val="24"/>
                    <w:rPr>
                      <w:rFonts w:hint="default" w:ascii="Times New Roman" w:hAnsi="Times New Roman" w:cs="Times New Roman"/>
                    </w:rPr>
                  </w:pPr>
                </w:p>
              </w:tc>
              <w:tc>
                <w:tcPr>
                  <w:tcW w:w="691" w:type="dxa"/>
                  <w:vMerge w:val="continue"/>
                  <w:vAlign w:val="center"/>
                </w:tcPr>
                <w:p w14:paraId="0A0DD9AB">
                  <w:pPr>
                    <w:pStyle w:val="24"/>
                    <w:rPr>
                      <w:rFonts w:hint="default" w:ascii="Times New Roman" w:hAnsi="Times New Roman" w:cs="Times New Roman"/>
                    </w:rPr>
                  </w:pPr>
                </w:p>
              </w:tc>
              <w:tc>
                <w:tcPr>
                  <w:tcW w:w="2147" w:type="dxa"/>
                  <w:vMerge w:val="continue"/>
                  <w:vAlign w:val="center"/>
                </w:tcPr>
                <w:p w14:paraId="7915ACEA">
                  <w:pPr>
                    <w:pStyle w:val="24"/>
                    <w:rPr>
                      <w:rFonts w:hint="default" w:ascii="Times New Roman" w:hAnsi="Times New Roman" w:cs="Times New Roman"/>
                    </w:rPr>
                  </w:pPr>
                </w:p>
              </w:tc>
              <w:tc>
                <w:tcPr>
                  <w:tcW w:w="1815" w:type="dxa"/>
                  <w:vAlign w:val="center"/>
                </w:tcPr>
                <w:p w14:paraId="62DCB03F">
                  <w:pPr>
                    <w:pStyle w:val="24"/>
                    <w:rPr>
                      <w:rFonts w:hint="default" w:ascii="Times New Roman" w:hAnsi="Times New Roman" w:eastAsia="宋体" w:cs="Times New Roman"/>
                      <w:lang w:eastAsia="zh-CN"/>
                    </w:rPr>
                  </w:pPr>
                  <w:r>
                    <w:rPr>
                      <w:rFonts w:hint="default" w:ascii="Times New Roman" w:hAnsi="Times New Roman" w:cs="Times New Roman"/>
                      <w:lang w:eastAsia="zh-CN"/>
                    </w:rPr>
                    <w:t>废切削、磨削液</w:t>
                  </w:r>
                </w:p>
              </w:tc>
              <w:tc>
                <w:tcPr>
                  <w:tcW w:w="2524" w:type="dxa"/>
                  <w:vAlign w:val="center"/>
                </w:tcPr>
                <w:p w14:paraId="4A6B89A1">
                  <w:pPr>
                    <w:pStyle w:val="24"/>
                    <w:ind w:firstLine="0" w:firstLineChars="0"/>
                    <w:rPr>
                      <w:rFonts w:hint="default" w:ascii="Times New Roman" w:hAnsi="Times New Roman" w:cs="Times New Roman"/>
                    </w:rPr>
                  </w:pPr>
                  <w:r>
                    <w:rPr>
                      <w:rFonts w:hint="default" w:ascii="Times New Roman" w:hAnsi="Times New Roman" w:cs="Times New Roman"/>
                      <w:lang w:eastAsia="zh-CN"/>
                    </w:rPr>
                    <w:t>废切削、磨削液</w:t>
                  </w:r>
                </w:p>
              </w:tc>
            </w:tr>
            <w:tr w14:paraId="39553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3CA32012">
                  <w:pPr>
                    <w:pStyle w:val="24"/>
                    <w:rPr>
                      <w:rFonts w:hint="default" w:ascii="Times New Roman" w:hAnsi="Times New Roman" w:cs="Times New Roman"/>
                    </w:rPr>
                  </w:pPr>
                </w:p>
              </w:tc>
              <w:tc>
                <w:tcPr>
                  <w:tcW w:w="691" w:type="dxa"/>
                  <w:vMerge w:val="continue"/>
                  <w:vAlign w:val="center"/>
                </w:tcPr>
                <w:p w14:paraId="31885A98">
                  <w:pPr>
                    <w:pStyle w:val="24"/>
                    <w:rPr>
                      <w:rFonts w:hint="default" w:ascii="Times New Roman" w:hAnsi="Times New Roman" w:cs="Times New Roman"/>
                    </w:rPr>
                  </w:pPr>
                </w:p>
              </w:tc>
              <w:tc>
                <w:tcPr>
                  <w:tcW w:w="2147" w:type="dxa"/>
                  <w:vMerge w:val="continue"/>
                  <w:vAlign w:val="center"/>
                </w:tcPr>
                <w:p w14:paraId="4BED4CFC">
                  <w:pPr>
                    <w:pStyle w:val="24"/>
                    <w:rPr>
                      <w:rFonts w:hint="default" w:ascii="Times New Roman" w:hAnsi="Times New Roman" w:cs="Times New Roman"/>
                    </w:rPr>
                  </w:pPr>
                </w:p>
              </w:tc>
              <w:tc>
                <w:tcPr>
                  <w:tcW w:w="1815" w:type="dxa"/>
                  <w:vAlign w:val="center"/>
                </w:tcPr>
                <w:p w14:paraId="45492A0C">
                  <w:pPr>
                    <w:pStyle w:val="24"/>
                    <w:rPr>
                      <w:rFonts w:hint="default" w:ascii="Times New Roman" w:hAnsi="Times New Roman" w:cs="Times New Roman"/>
                      <w:lang w:eastAsia="zh-CN"/>
                    </w:rPr>
                  </w:pPr>
                  <w:r>
                    <w:rPr>
                      <w:rFonts w:hint="default" w:ascii="Times New Roman" w:hAnsi="Times New Roman" w:cs="Times New Roman"/>
                      <w:lang w:eastAsia="zh-CN"/>
                    </w:rPr>
                    <w:t>废液压油</w:t>
                  </w:r>
                </w:p>
              </w:tc>
              <w:tc>
                <w:tcPr>
                  <w:tcW w:w="2524" w:type="dxa"/>
                  <w:vAlign w:val="center"/>
                </w:tcPr>
                <w:p w14:paraId="2601A87A">
                  <w:pPr>
                    <w:pStyle w:val="24"/>
                    <w:ind w:firstLine="0" w:firstLineChars="0"/>
                    <w:rPr>
                      <w:rFonts w:hint="default" w:ascii="Times New Roman" w:hAnsi="Times New Roman" w:cs="Times New Roman"/>
                      <w:lang w:eastAsia="zh-CN"/>
                    </w:rPr>
                  </w:pPr>
                  <w:r>
                    <w:rPr>
                      <w:rFonts w:hint="default" w:ascii="Times New Roman" w:hAnsi="Times New Roman" w:cs="Times New Roman"/>
                      <w:lang w:eastAsia="zh-CN"/>
                    </w:rPr>
                    <w:t>废液压油</w:t>
                  </w:r>
                </w:p>
              </w:tc>
            </w:tr>
            <w:tr w14:paraId="6A55D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18B460DF">
                  <w:pPr>
                    <w:pStyle w:val="24"/>
                    <w:rPr>
                      <w:rFonts w:hint="default" w:ascii="Times New Roman" w:hAnsi="Times New Roman" w:cs="Times New Roman"/>
                    </w:rPr>
                  </w:pPr>
                </w:p>
              </w:tc>
              <w:tc>
                <w:tcPr>
                  <w:tcW w:w="691" w:type="dxa"/>
                  <w:vMerge w:val="continue"/>
                  <w:vAlign w:val="center"/>
                </w:tcPr>
                <w:p w14:paraId="17039378">
                  <w:pPr>
                    <w:pStyle w:val="24"/>
                    <w:rPr>
                      <w:rFonts w:hint="default" w:ascii="Times New Roman" w:hAnsi="Times New Roman" w:cs="Times New Roman"/>
                    </w:rPr>
                  </w:pPr>
                </w:p>
              </w:tc>
              <w:tc>
                <w:tcPr>
                  <w:tcW w:w="2147" w:type="dxa"/>
                  <w:vMerge w:val="continue"/>
                  <w:vAlign w:val="center"/>
                </w:tcPr>
                <w:p w14:paraId="495D5983">
                  <w:pPr>
                    <w:pStyle w:val="24"/>
                    <w:rPr>
                      <w:rFonts w:hint="default" w:ascii="Times New Roman" w:hAnsi="Times New Roman" w:cs="Times New Roman"/>
                    </w:rPr>
                  </w:pPr>
                </w:p>
              </w:tc>
              <w:tc>
                <w:tcPr>
                  <w:tcW w:w="1815" w:type="dxa"/>
                  <w:vAlign w:val="center"/>
                </w:tcPr>
                <w:p w14:paraId="6D12FF77">
                  <w:pPr>
                    <w:pStyle w:val="24"/>
                    <w:rPr>
                      <w:rFonts w:hint="default" w:ascii="Times New Roman" w:hAnsi="Times New Roman" w:cs="Times New Roman"/>
                      <w:lang w:eastAsia="zh-CN"/>
                    </w:rPr>
                  </w:pPr>
                  <w:r>
                    <w:rPr>
                      <w:rFonts w:hint="default" w:ascii="Times New Roman" w:hAnsi="Times New Roman" w:cs="Times New Roman"/>
                      <w:lang w:eastAsia="zh-CN"/>
                    </w:rPr>
                    <w:t>废化学品桶</w:t>
                  </w:r>
                </w:p>
              </w:tc>
              <w:tc>
                <w:tcPr>
                  <w:tcW w:w="2524" w:type="dxa"/>
                  <w:vAlign w:val="center"/>
                </w:tcPr>
                <w:p w14:paraId="3472042B">
                  <w:pPr>
                    <w:pStyle w:val="24"/>
                    <w:ind w:firstLine="0" w:firstLineChars="0"/>
                    <w:rPr>
                      <w:rFonts w:hint="default" w:ascii="Times New Roman" w:hAnsi="Times New Roman" w:cs="Times New Roman"/>
                    </w:rPr>
                  </w:pPr>
                  <w:r>
                    <w:rPr>
                      <w:rFonts w:hint="default" w:ascii="Times New Roman" w:hAnsi="Times New Roman" w:cs="Times New Roman"/>
                      <w:lang w:eastAsia="zh-CN"/>
                    </w:rPr>
                    <w:t>废化学品桶</w:t>
                  </w:r>
                </w:p>
              </w:tc>
            </w:tr>
            <w:tr w14:paraId="55BB8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0D5BF22F">
                  <w:pPr>
                    <w:pStyle w:val="24"/>
                    <w:rPr>
                      <w:rFonts w:hint="default" w:ascii="Times New Roman" w:hAnsi="Times New Roman" w:cs="Times New Roman"/>
                    </w:rPr>
                  </w:pPr>
                </w:p>
              </w:tc>
              <w:tc>
                <w:tcPr>
                  <w:tcW w:w="691" w:type="dxa"/>
                  <w:vMerge w:val="continue"/>
                  <w:vAlign w:val="center"/>
                </w:tcPr>
                <w:p w14:paraId="1D8131C6">
                  <w:pPr>
                    <w:pStyle w:val="24"/>
                    <w:rPr>
                      <w:rFonts w:hint="default" w:ascii="Times New Roman" w:hAnsi="Times New Roman" w:cs="Times New Roman"/>
                    </w:rPr>
                  </w:pPr>
                </w:p>
              </w:tc>
              <w:tc>
                <w:tcPr>
                  <w:tcW w:w="2147" w:type="dxa"/>
                  <w:vMerge w:val="continue"/>
                  <w:vAlign w:val="center"/>
                </w:tcPr>
                <w:p w14:paraId="4DE5921E">
                  <w:pPr>
                    <w:pStyle w:val="24"/>
                    <w:rPr>
                      <w:rFonts w:hint="default" w:ascii="Times New Roman" w:hAnsi="Times New Roman" w:cs="Times New Roman"/>
                    </w:rPr>
                  </w:pPr>
                </w:p>
              </w:tc>
              <w:tc>
                <w:tcPr>
                  <w:tcW w:w="1815" w:type="dxa"/>
                  <w:vAlign w:val="center"/>
                </w:tcPr>
                <w:p w14:paraId="2AC30203">
                  <w:pPr>
                    <w:pStyle w:val="24"/>
                    <w:rPr>
                      <w:rFonts w:hint="eastAsia" w:ascii="Times New Roman" w:hAnsi="Times New Roman" w:eastAsia="宋体" w:cs="Times New Roman"/>
                      <w:lang w:eastAsia="zh-CN"/>
                    </w:rPr>
                  </w:pPr>
                  <w:r>
                    <w:rPr>
                      <w:rFonts w:hint="eastAsia" w:cs="Times New Roman"/>
                      <w:lang w:eastAsia="zh-CN"/>
                    </w:rPr>
                    <w:t>磨削油泥</w:t>
                  </w:r>
                </w:p>
              </w:tc>
              <w:tc>
                <w:tcPr>
                  <w:tcW w:w="2524" w:type="dxa"/>
                  <w:vAlign w:val="center"/>
                </w:tcPr>
                <w:p w14:paraId="7B868349">
                  <w:pPr>
                    <w:pStyle w:val="24"/>
                    <w:ind w:firstLine="0" w:firstLineChars="0"/>
                    <w:rPr>
                      <w:rFonts w:hint="eastAsia" w:ascii="Times New Roman" w:hAnsi="Times New Roman" w:eastAsia="宋体" w:cs="Times New Roman"/>
                      <w:lang w:eastAsia="zh-CN"/>
                    </w:rPr>
                  </w:pPr>
                  <w:r>
                    <w:rPr>
                      <w:rFonts w:hint="eastAsia" w:cs="Times New Roman"/>
                      <w:lang w:eastAsia="zh-CN"/>
                    </w:rPr>
                    <w:t>磨削油泥</w:t>
                  </w:r>
                </w:p>
              </w:tc>
            </w:tr>
            <w:tr w14:paraId="747BC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6507E1FC">
                  <w:pPr>
                    <w:pStyle w:val="24"/>
                    <w:rPr>
                      <w:rFonts w:hint="default" w:ascii="Times New Roman" w:hAnsi="Times New Roman" w:cs="Times New Roman"/>
                    </w:rPr>
                  </w:pPr>
                </w:p>
              </w:tc>
              <w:tc>
                <w:tcPr>
                  <w:tcW w:w="691" w:type="dxa"/>
                  <w:vMerge w:val="continue"/>
                  <w:vAlign w:val="center"/>
                </w:tcPr>
                <w:p w14:paraId="7757DD32">
                  <w:pPr>
                    <w:pStyle w:val="24"/>
                    <w:rPr>
                      <w:rFonts w:hint="default" w:ascii="Times New Roman" w:hAnsi="Times New Roman" w:cs="Times New Roman"/>
                    </w:rPr>
                  </w:pPr>
                </w:p>
              </w:tc>
              <w:tc>
                <w:tcPr>
                  <w:tcW w:w="2147" w:type="dxa"/>
                  <w:vAlign w:val="center"/>
                </w:tcPr>
                <w:p w14:paraId="1E8BFB32">
                  <w:pPr>
                    <w:pStyle w:val="24"/>
                    <w:rPr>
                      <w:rFonts w:hint="default" w:ascii="Times New Roman" w:hAnsi="Times New Roman" w:eastAsia="宋体" w:cs="Times New Roman"/>
                      <w:lang w:eastAsia="zh-CN"/>
                    </w:rPr>
                  </w:pPr>
                  <w:r>
                    <w:rPr>
                      <w:rFonts w:hint="default" w:ascii="Times New Roman" w:hAnsi="Times New Roman" w:cs="Times New Roman"/>
                      <w:lang w:eastAsia="zh-CN"/>
                    </w:rPr>
                    <w:t>废水处理</w:t>
                  </w:r>
                </w:p>
              </w:tc>
              <w:tc>
                <w:tcPr>
                  <w:tcW w:w="1815" w:type="dxa"/>
                  <w:vAlign w:val="center"/>
                </w:tcPr>
                <w:p w14:paraId="7C3BE8C0">
                  <w:pPr>
                    <w:pStyle w:val="24"/>
                    <w:rPr>
                      <w:rFonts w:hint="default" w:ascii="Times New Roman" w:hAnsi="Times New Roman" w:eastAsia="宋体" w:cs="Times New Roman"/>
                      <w:lang w:eastAsia="zh-CN"/>
                    </w:rPr>
                  </w:pPr>
                  <w:r>
                    <w:rPr>
                      <w:rFonts w:hint="default" w:ascii="Times New Roman" w:hAnsi="Times New Roman" w:cs="Times New Roman"/>
                      <w:lang w:eastAsia="zh-CN"/>
                    </w:rPr>
                    <w:t>污泥</w:t>
                  </w:r>
                </w:p>
              </w:tc>
              <w:tc>
                <w:tcPr>
                  <w:tcW w:w="2524" w:type="dxa"/>
                  <w:vAlign w:val="center"/>
                </w:tcPr>
                <w:p w14:paraId="539C793D">
                  <w:pPr>
                    <w:pStyle w:val="24"/>
                    <w:ind w:firstLine="0" w:firstLineChars="0"/>
                    <w:rPr>
                      <w:rFonts w:hint="default" w:ascii="Times New Roman" w:hAnsi="Times New Roman" w:cs="Times New Roman"/>
                    </w:rPr>
                  </w:pPr>
                  <w:r>
                    <w:rPr>
                      <w:rFonts w:hint="default" w:ascii="Times New Roman" w:hAnsi="Times New Roman" w:cs="Times New Roman"/>
                      <w:lang w:eastAsia="zh-CN"/>
                    </w:rPr>
                    <w:t>污泥</w:t>
                  </w:r>
                </w:p>
              </w:tc>
            </w:tr>
            <w:tr w14:paraId="48568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402" w:type="dxa"/>
                  <w:vMerge w:val="continue"/>
                  <w:vAlign w:val="center"/>
                </w:tcPr>
                <w:p w14:paraId="6AE5470B">
                  <w:pPr>
                    <w:pStyle w:val="24"/>
                    <w:rPr>
                      <w:rFonts w:hint="default" w:ascii="Times New Roman" w:hAnsi="Times New Roman" w:cs="Times New Roman"/>
                    </w:rPr>
                  </w:pPr>
                </w:p>
              </w:tc>
              <w:tc>
                <w:tcPr>
                  <w:tcW w:w="691" w:type="dxa"/>
                  <w:vMerge w:val="continue"/>
                  <w:vAlign w:val="center"/>
                </w:tcPr>
                <w:p w14:paraId="042A11B1">
                  <w:pPr>
                    <w:pStyle w:val="24"/>
                    <w:rPr>
                      <w:rFonts w:hint="default" w:ascii="Times New Roman" w:hAnsi="Times New Roman" w:cs="Times New Roman"/>
                    </w:rPr>
                  </w:pPr>
                </w:p>
              </w:tc>
              <w:tc>
                <w:tcPr>
                  <w:tcW w:w="2147" w:type="dxa"/>
                  <w:vAlign w:val="center"/>
                </w:tcPr>
                <w:p w14:paraId="71B05400">
                  <w:pPr>
                    <w:pStyle w:val="24"/>
                    <w:rPr>
                      <w:rFonts w:hint="default" w:ascii="Times New Roman" w:hAnsi="Times New Roman" w:cs="Times New Roman"/>
                    </w:rPr>
                  </w:pPr>
                  <w:r>
                    <w:rPr>
                      <w:rFonts w:hint="default" w:ascii="Times New Roman" w:hAnsi="Times New Roman" w:cs="Times New Roman"/>
                    </w:rPr>
                    <w:t>职工生活</w:t>
                  </w:r>
                </w:p>
              </w:tc>
              <w:tc>
                <w:tcPr>
                  <w:tcW w:w="1815" w:type="dxa"/>
                  <w:vAlign w:val="center"/>
                </w:tcPr>
                <w:p w14:paraId="0B07FA6C">
                  <w:pPr>
                    <w:pStyle w:val="24"/>
                    <w:rPr>
                      <w:rFonts w:hint="default" w:ascii="Times New Roman" w:hAnsi="Times New Roman" w:cs="Times New Roman"/>
                    </w:rPr>
                  </w:pPr>
                  <w:r>
                    <w:rPr>
                      <w:rFonts w:hint="default" w:ascii="Times New Roman" w:hAnsi="Times New Roman" w:cs="Times New Roman"/>
                    </w:rPr>
                    <w:t>生活垃圾</w:t>
                  </w:r>
                </w:p>
              </w:tc>
              <w:tc>
                <w:tcPr>
                  <w:tcW w:w="2524" w:type="dxa"/>
                  <w:vAlign w:val="center"/>
                </w:tcPr>
                <w:p w14:paraId="0E64DC0B">
                  <w:pPr>
                    <w:pStyle w:val="24"/>
                    <w:rPr>
                      <w:rFonts w:hint="default" w:ascii="Times New Roman" w:hAnsi="Times New Roman" w:cs="Times New Roman"/>
                    </w:rPr>
                  </w:pPr>
                  <w:r>
                    <w:rPr>
                      <w:rFonts w:hint="default" w:ascii="Times New Roman" w:hAnsi="Times New Roman" w:cs="Times New Roman"/>
                    </w:rPr>
                    <w:t>生活垃圾</w:t>
                  </w:r>
                </w:p>
              </w:tc>
            </w:tr>
            <w:tr w14:paraId="143C0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402" w:type="dxa"/>
                  <w:vMerge w:val="continue"/>
                  <w:vAlign w:val="center"/>
                </w:tcPr>
                <w:p w14:paraId="734CEBA0">
                  <w:pPr>
                    <w:pStyle w:val="24"/>
                    <w:rPr>
                      <w:rFonts w:hint="default" w:ascii="Times New Roman" w:hAnsi="Times New Roman" w:cs="Times New Roman"/>
                    </w:rPr>
                  </w:pPr>
                </w:p>
              </w:tc>
              <w:tc>
                <w:tcPr>
                  <w:tcW w:w="691" w:type="dxa"/>
                  <w:vAlign w:val="center"/>
                </w:tcPr>
                <w:p w14:paraId="6774E76F">
                  <w:pPr>
                    <w:pStyle w:val="24"/>
                    <w:rPr>
                      <w:rFonts w:hint="default" w:ascii="Times New Roman" w:hAnsi="Times New Roman" w:cs="Times New Roman"/>
                    </w:rPr>
                  </w:pPr>
                  <w:r>
                    <w:rPr>
                      <w:rFonts w:hint="default" w:ascii="Times New Roman" w:hAnsi="Times New Roman" w:cs="Times New Roman"/>
                    </w:rPr>
                    <w:t>噪声</w:t>
                  </w:r>
                </w:p>
              </w:tc>
              <w:tc>
                <w:tcPr>
                  <w:tcW w:w="2147" w:type="dxa"/>
                  <w:vAlign w:val="center"/>
                </w:tcPr>
                <w:p w14:paraId="3AEB98CC">
                  <w:pPr>
                    <w:pStyle w:val="24"/>
                    <w:rPr>
                      <w:rFonts w:hint="default" w:ascii="Times New Roman" w:hAnsi="Times New Roman" w:cs="Times New Roman"/>
                    </w:rPr>
                  </w:pPr>
                  <w:r>
                    <w:rPr>
                      <w:rFonts w:hint="default" w:ascii="Times New Roman" w:hAnsi="Times New Roman" w:cs="Times New Roman"/>
                    </w:rPr>
                    <w:t>机加工设备</w:t>
                  </w:r>
                </w:p>
              </w:tc>
              <w:tc>
                <w:tcPr>
                  <w:tcW w:w="1815" w:type="dxa"/>
                  <w:vAlign w:val="center"/>
                </w:tcPr>
                <w:p w14:paraId="1FE122FD">
                  <w:pPr>
                    <w:pStyle w:val="24"/>
                    <w:rPr>
                      <w:rFonts w:hint="default" w:ascii="Times New Roman" w:hAnsi="Times New Roman" w:cs="Times New Roman"/>
                    </w:rPr>
                  </w:pPr>
                  <w:r>
                    <w:rPr>
                      <w:rFonts w:hint="default" w:ascii="Times New Roman" w:hAnsi="Times New Roman" w:cs="Times New Roman"/>
                    </w:rPr>
                    <w:t>噪声</w:t>
                  </w:r>
                </w:p>
              </w:tc>
              <w:tc>
                <w:tcPr>
                  <w:tcW w:w="2524" w:type="dxa"/>
                  <w:vAlign w:val="center"/>
                </w:tcPr>
                <w:p w14:paraId="095F9B22">
                  <w:pPr>
                    <w:pStyle w:val="24"/>
                    <w:rPr>
                      <w:rFonts w:hint="default" w:ascii="Times New Roman" w:hAnsi="Times New Roman" w:cs="Times New Roman"/>
                    </w:rPr>
                  </w:pPr>
                  <w:r>
                    <w:rPr>
                      <w:rFonts w:hint="default" w:ascii="Times New Roman" w:hAnsi="Times New Roman" w:cs="Times New Roman"/>
                    </w:rPr>
                    <w:t>Leq</w:t>
                  </w:r>
                </w:p>
              </w:tc>
            </w:tr>
          </w:tbl>
          <w:p w14:paraId="4EC4239B">
            <w:pPr>
              <w:pStyle w:val="4"/>
              <w:suppressLineNumbers w:val="0"/>
              <w:bidi w:val="0"/>
              <w:spacing w:before="0" w:beforeAutospacing="0" w:after="0" w:afterAutospacing="0"/>
              <w:ind w:left="0" w:leftChars="0" w:right="0" w:firstLine="0" w:firstLineChars="0"/>
              <w:rPr>
                <w:rFonts w:hint="eastAsia"/>
              </w:rPr>
            </w:pPr>
          </w:p>
          <w:p w14:paraId="29442F6D">
            <w:pPr>
              <w:pStyle w:val="4"/>
              <w:suppressLineNumbers w:val="0"/>
              <w:bidi w:val="0"/>
              <w:spacing w:before="0" w:beforeAutospacing="0" w:after="0" w:afterAutospacing="0"/>
              <w:ind w:left="0" w:right="0"/>
              <w:rPr>
                <w:rFonts w:hint="default"/>
              </w:rPr>
            </w:pPr>
            <w:r>
              <w:rPr>
                <w:rFonts w:hint="eastAsia"/>
              </w:rPr>
              <w:t>2.1.8项目变动情况</w:t>
            </w:r>
          </w:p>
          <w:p w14:paraId="6A0FF7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rPr>
            </w:pPr>
            <w:r>
              <w:rPr>
                <w:rFonts w:hint="eastAsia"/>
                <w:lang w:eastAsia="zh-CN"/>
              </w:rPr>
              <w:t>与环评相比，</w:t>
            </w:r>
            <w:r>
              <w:rPr>
                <w:rFonts w:hint="eastAsia"/>
              </w:rPr>
              <w:t>本项目建设过程中发生</w:t>
            </w:r>
            <w:r>
              <w:rPr>
                <w:rFonts w:hint="eastAsia"/>
                <w:lang w:val="en-US" w:eastAsia="zh-CN"/>
              </w:rPr>
              <w:t>两</w:t>
            </w:r>
            <w:r>
              <w:rPr>
                <w:rFonts w:hint="eastAsia"/>
                <w:lang w:eastAsia="zh-CN"/>
              </w:rPr>
              <w:t>处</w:t>
            </w:r>
            <w:r>
              <w:rPr>
                <w:rFonts w:hint="eastAsia"/>
              </w:rPr>
              <w:t>变动情况</w:t>
            </w:r>
            <w:r>
              <w:rPr>
                <w:rFonts w:hint="eastAsia"/>
                <w:lang w:eastAsia="zh-CN"/>
              </w:rPr>
              <w:t>，其余</w:t>
            </w:r>
            <w:r>
              <w:rPr>
                <w:rFonts w:hint="eastAsia"/>
              </w:rPr>
              <w:t>建设内容与环评一致</w:t>
            </w:r>
            <w:r>
              <w:rPr>
                <w:rFonts w:hint="eastAsia"/>
                <w:lang w:eastAsia="zh-CN"/>
              </w:rPr>
              <w:t>，</w:t>
            </w:r>
            <w:r>
              <w:rPr>
                <w:rFonts w:hint="eastAsia"/>
              </w:rPr>
              <w:t>不涉及重大变更。</w:t>
            </w:r>
          </w:p>
          <w:p w14:paraId="1565634A">
            <w:pPr>
              <w:pStyle w:val="10"/>
              <w:rPr>
                <w:rFonts w:hint="eastAsia"/>
              </w:rPr>
            </w:pPr>
          </w:p>
          <w:p w14:paraId="7F91003B">
            <w:pPr>
              <w:keepNext w:val="0"/>
              <w:keepLines w:val="0"/>
              <w:suppressLineNumbers w:val="0"/>
              <w:spacing w:before="0" w:beforeAutospacing="0" w:after="0" w:afterAutospacing="0"/>
              <w:ind w:left="0" w:right="0"/>
              <w:rPr>
                <w:rFonts w:hint="eastAsia"/>
              </w:rPr>
            </w:pPr>
          </w:p>
          <w:p w14:paraId="09E3BF2A">
            <w:pPr>
              <w:pStyle w:val="56"/>
              <w:keepNext w:val="0"/>
              <w:keepLines w:val="0"/>
              <w:suppressLineNumbers w:val="0"/>
              <w:bidi w:val="0"/>
              <w:spacing w:before="0" w:beforeAutospacing="0" w:after="0" w:afterAutospacing="0"/>
              <w:ind w:left="0" w:right="0"/>
              <w:rPr>
                <w:rFonts w:hint="eastAsia" w:eastAsia="宋体"/>
                <w:lang w:val="en-US" w:eastAsia="zh-CN"/>
              </w:rPr>
            </w:pPr>
            <w:r>
              <w:rPr>
                <w:rFonts w:hint="eastAsia"/>
              </w:rPr>
              <w:t>表</w:t>
            </w:r>
            <w:r>
              <w:rPr>
                <w:rFonts w:hint="eastAsia" w:eastAsia="宋体"/>
                <w:lang w:val="en-US" w:eastAsia="zh-CN"/>
              </w:rPr>
              <w:t>2.1-8</w:t>
            </w:r>
            <w:r>
              <w:rPr>
                <w:rFonts w:hint="eastAsia"/>
              </w:rPr>
              <w:t xml:space="preserve"> 项目变动情况</w:t>
            </w:r>
            <w:r>
              <w:rPr>
                <w:rFonts w:hint="eastAsia" w:eastAsia="宋体"/>
                <w:lang w:val="en-US" w:eastAsia="zh-CN"/>
              </w:rPr>
              <w:t>一览表</w:t>
            </w:r>
          </w:p>
          <w:tbl>
            <w:tblPr>
              <w:tblStyle w:val="19"/>
              <w:tblW w:w="8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8"/>
              <w:gridCol w:w="2114"/>
              <w:gridCol w:w="2031"/>
              <w:gridCol w:w="3778"/>
            </w:tblGrid>
            <w:tr w14:paraId="23D01E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56" w:hRule="atLeast"/>
              </w:trPr>
              <w:tc>
                <w:tcPr>
                  <w:tcW w:w="428" w:type="dxa"/>
                  <w:noWrap w:val="0"/>
                  <w:vAlign w:val="center"/>
                </w:tcPr>
                <w:p w14:paraId="0F6031F5">
                  <w:pPr>
                    <w:pStyle w:val="24"/>
                    <w:keepNext w:val="0"/>
                    <w:keepLines w:val="0"/>
                    <w:suppressLineNumbers w:val="0"/>
                    <w:bidi w:val="0"/>
                    <w:spacing w:before="0" w:beforeAutospacing="0" w:after="0" w:afterAutospacing="0"/>
                    <w:ind w:left="0" w:right="0"/>
                    <w:rPr>
                      <w:rFonts w:hint="default"/>
                    </w:rPr>
                  </w:pPr>
                  <w:r>
                    <w:rPr>
                      <w:rFonts w:hint="eastAsia"/>
                    </w:rPr>
                    <w:t>序号</w:t>
                  </w:r>
                </w:p>
              </w:tc>
              <w:tc>
                <w:tcPr>
                  <w:tcW w:w="2114" w:type="dxa"/>
                  <w:noWrap w:val="0"/>
                  <w:vAlign w:val="center"/>
                </w:tcPr>
                <w:p w14:paraId="7FCE0674">
                  <w:pPr>
                    <w:pStyle w:val="24"/>
                    <w:keepNext w:val="0"/>
                    <w:keepLines w:val="0"/>
                    <w:suppressLineNumbers w:val="0"/>
                    <w:bidi w:val="0"/>
                    <w:spacing w:before="0" w:beforeAutospacing="0" w:after="0" w:afterAutospacing="0"/>
                    <w:ind w:left="0" w:right="0"/>
                    <w:rPr>
                      <w:rFonts w:hint="default"/>
                    </w:rPr>
                  </w:pPr>
                  <w:r>
                    <w:rPr>
                      <w:rFonts w:hint="eastAsia"/>
                    </w:rPr>
                    <w:t>环评设计内容</w:t>
                  </w:r>
                </w:p>
              </w:tc>
              <w:tc>
                <w:tcPr>
                  <w:tcW w:w="2031" w:type="dxa"/>
                  <w:noWrap w:val="0"/>
                  <w:vAlign w:val="center"/>
                </w:tcPr>
                <w:p w14:paraId="59D9392E">
                  <w:pPr>
                    <w:pStyle w:val="24"/>
                    <w:keepNext w:val="0"/>
                    <w:keepLines w:val="0"/>
                    <w:suppressLineNumbers w:val="0"/>
                    <w:bidi w:val="0"/>
                    <w:spacing w:before="0" w:beforeAutospacing="0" w:after="0" w:afterAutospacing="0"/>
                    <w:ind w:left="0" w:right="0"/>
                    <w:rPr>
                      <w:rFonts w:hint="default"/>
                    </w:rPr>
                  </w:pPr>
                  <w:r>
                    <w:rPr>
                      <w:rFonts w:hint="eastAsia"/>
                    </w:rPr>
                    <w:t>审批决定要求</w:t>
                  </w:r>
                </w:p>
              </w:tc>
              <w:tc>
                <w:tcPr>
                  <w:tcW w:w="3778" w:type="dxa"/>
                  <w:noWrap w:val="0"/>
                  <w:vAlign w:val="center"/>
                </w:tcPr>
                <w:p w14:paraId="6536FC3D">
                  <w:pPr>
                    <w:pStyle w:val="24"/>
                    <w:keepNext w:val="0"/>
                    <w:keepLines w:val="0"/>
                    <w:suppressLineNumbers w:val="0"/>
                    <w:bidi w:val="0"/>
                    <w:spacing w:before="0" w:beforeAutospacing="0" w:after="0" w:afterAutospacing="0"/>
                    <w:ind w:left="0" w:right="0"/>
                    <w:rPr>
                      <w:rFonts w:hint="default"/>
                    </w:rPr>
                  </w:pPr>
                  <w:r>
                    <w:rPr>
                      <w:rFonts w:hint="eastAsia"/>
                    </w:rPr>
                    <w:t>实际建设内容</w:t>
                  </w:r>
                </w:p>
              </w:tc>
            </w:tr>
            <w:tr w14:paraId="1EED6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8" w:hRule="atLeast"/>
              </w:trPr>
              <w:tc>
                <w:tcPr>
                  <w:tcW w:w="428" w:type="dxa"/>
                  <w:noWrap w:val="0"/>
                  <w:vAlign w:val="center"/>
                </w:tcPr>
                <w:p w14:paraId="2307F56B">
                  <w:pPr>
                    <w:pStyle w:val="24"/>
                    <w:keepNext w:val="0"/>
                    <w:keepLines w:val="0"/>
                    <w:suppressLineNumbers w:val="0"/>
                    <w:bidi w:val="0"/>
                    <w:spacing w:before="0" w:beforeAutospacing="0" w:after="0" w:afterAutospacing="0"/>
                    <w:ind w:left="0" w:right="0"/>
                    <w:rPr>
                      <w:rFonts w:hint="default"/>
                    </w:rPr>
                  </w:pPr>
                  <w:r>
                    <w:rPr>
                      <w:rFonts w:hint="eastAsia"/>
                    </w:rPr>
                    <w:t>1</w:t>
                  </w:r>
                </w:p>
              </w:tc>
              <w:tc>
                <w:tcPr>
                  <w:tcW w:w="4145" w:type="dxa"/>
                  <w:gridSpan w:val="2"/>
                  <w:noWrap w:val="0"/>
                  <w:vAlign w:val="center"/>
                </w:tcPr>
                <w:p w14:paraId="0EE7573B">
                  <w:pPr>
                    <w:pStyle w:val="24"/>
                    <w:keepNext w:val="0"/>
                    <w:keepLines w:val="0"/>
                    <w:suppressLineNumbers w:val="0"/>
                    <w:bidi w:val="0"/>
                    <w:spacing w:before="0" w:beforeAutospacing="0" w:after="0" w:afterAutospacing="0"/>
                    <w:ind w:left="0" w:right="0"/>
                    <w:rPr>
                      <w:rFonts w:hint="default" w:eastAsia="宋体"/>
                      <w:lang w:val="en-US" w:eastAsia="zh-CN"/>
                    </w:rPr>
                  </w:pPr>
                  <w:r>
                    <w:rPr>
                      <w:rFonts w:hint="default"/>
                    </w:rPr>
                    <w:t>项目背面珩磨机</w:t>
                  </w:r>
                  <w:r>
                    <w:rPr>
                      <w:rFonts w:hint="eastAsia"/>
                      <w:lang w:eastAsia="zh-CN"/>
                    </w:rPr>
                    <w:t>、</w:t>
                  </w:r>
                  <w:r>
                    <w:rPr>
                      <w:rFonts w:hint="default"/>
                    </w:rPr>
                    <w:t>精珩磨机</w:t>
                  </w:r>
                  <w:r>
                    <w:rPr>
                      <w:rFonts w:hint="eastAsia"/>
                      <w:lang w:eastAsia="zh-CN"/>
                    </w:rPr>
                    <w:t>、</w:t>
                  </w:r>
                  <w:r>
                    <w:rPr>
                      <w:rFonts w:hint="default"/>
                    </w:rPr>
                    <w:t>外圆抛光机</w:t>
                  </w:r>
                  <w:r>
                    <w:rPr>
                      <w:rFonts w:hint="eastAsia"/>
                      <w:lang w:val="en-US" w:eastAsia="zh-CN"/>
                    </w:rPr>
                    <w:t>数量为2台，自动车床数量为10台</w:t>
                  </w:r>
                </w:p>
              </w:tc>
              <w:tc>
                <w:tcPr>
                  <w:tcW w:w="3778" w:type="dxa"/>
                  <w:noWrap w:val="0"/>
                  <w:vAlign w:val="center"/>
                </w:tcPr>
                <w:p w14:paraId="7071FD8E">
                  <w:pPr>
                    <w:pStyle w:val="24"/>
                    <w:keepNext w:val="0"/>
                    <w:keepLines w:val="0"/>
                    <w:suppressLineNumbers w:val="0"/>
                    <w:bidi w:val="0"/>
                    <w:spacing w:before="0" w:beforeAutospacing="0" w:after="0" w:afterAutospacing="0"/>
                    <w:ind w:left="0" w:right="0"/>
                    <w:rPr>
                      <w:rFonts w:hint="default"/>
                    </w:rPr>
                  </w:pPr>
                  <w:r>
                    <w:rPr>
                      <w:rFonts w:hint="eastAsia"/>
                      <w:lang w:val="en-US" w:eastAsia="zh-CN"/>
                    </w:rPr>
                    <w:t>本项目实际购买设备</w:t>
                  </w:r>
                  <w:r>
                    <w:rPr>
                      <w:rFonts w:hint="default"/>
                    </w:rPr>
                    <w:t>面珩磨机</w:t>
                  </w:r>
                  <w:r>
                    <w:rPr>
                      <w:rFonts w:hint="eastAsia"/>
                      <w:lang w:eastAsia="zh-CN"/>
                    </w:rPr>
                    <w:t>、</w:t>
                  </w:r>
                  <w:r>
                    <w:rPr>
                      <w:rFonts w:hint="default"/>
                    </w:rPr>
                    <w:t>精珩磨机</w:t>
                  </w:r>
                  <w:r>
                    <w:rPr>
                      <w:rFonts w:hint="eastAsia"/>
                      <w:lang w:eastAsia="zh-CN"/>
                    </w:rPr>
                    <w:t>、</w:t>
                  </w:r>
                  <w:r>
                    <w:rPr>
                      <w:rFonts w:hint="default"/>
                    </w:rPr>
                    <w:t>外圆抛光机</w:t>
                  </w:r>
                  <w:r>
                    <w:rPr>
                      <w:rFonts w:hint="eastAsia"/>
                      <w:lang w:val="en-US" w:eastAsia="zh-CN"/>
                    </w:rPr>
                    <w:t>各1台，自动车床购买1台，可满足本项目生产需求。</w:t>
                  </w:r>
                </w:p>
              </w:tc>
            </w:tr>
            <w:tr w14:paraId="096F1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3" w:hRule="atLeast"/>
              </w:trPr>
              <w:tc>
                <w:tcPr>
                  <w:tcW w:w="428" w:type="dxa"/>
                  <w:noWrap w:val="0"/>
                  <w:vAlign w:val="center"/>
                </w:tcPr>
                <w:p w14:paraId="3A3286D3">
                  <w:pPr>
                    <w:pStyle w:val="24"/>
                    <w:keepNext w:val="0"/>
                    <w:keepLines w:val="0"/>
                    <w:suppressLineNumbers w:val="0"/>
                    <w:bidi w:val="0"/>
                    <w:spacing w:before="0" w:beforeAutospacing="0" w:after="0" w:afterAutospacing="0"/>
                    <w:ind w:left="0" w:right="0"/>
                    <w:rPr>
                      <w:rFonts w:hint="eastAsia" w:eastAsia="宋体"/>
                      <w:lang w:val="en-US" w:eastAsia="zh-CN"/>
                    </w:rPr>
                  </w:pPr>
                  <w:r>
                    <w:rPr>
                      <w:rFonts w:hint="eastAsia"/>
                      <w:lang w:val="en-US" w:eastAsia="zh-CN"/>
                    </w:rPr>
                    <w:t>2</w:t>
                  </w:r>
                </w:p>
              </w:tc>
              <w:tc>
                <w:tcPr>
                  <w:tcW w:w="4145" w:type="dxa"/>
                  <w:gridSpan w:val="2"/>
                  <w:noWrap w:val="0"/>
                  <w:vAlign w:val="center"/>
                </w:tcPr>
                <w:p w14:paraId="25658FFB">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default"/>
                    </w:rPr>
                  </w:pPr>
                  <w:r>
                    <w:rPr>
                      <w:rFonts w:hint="default" w:ascii="Times New Roman" w:hAnsi="Times New Roman" w:cs="Times New Roman"/>
                    </w:rPr>
                    <w:t>抛光工序产生的粉尘</w:t>
                  </w:r>
                  <w:r>
                    <w:rPr>
                      <w:rFonts w:hint="default" w:ascii="Times New Roman" w:hAnsi="Times New Roman" w:cs="Times New Roman"/>
                      <w:lang w:eastAsia="zh-CN"/>
                    </w:rPr>
                    <w:t>由</w:t>
                  </w:r>
                  <w:r>
                    <w:rPr>
                      <w:rFonts w:hint="default" w:ascii="Times New Roman" w:hAnsi="Times New Roman" w:cs="Times New Roman"/>
                    </w:rPr>
                    <w:t>通过</w:t>
                  </w:r>
                  <w:r>
                    <w:rPr>
                      <w:rFonts w:hint="default" w:ascii="Times New Roman" w:hAnsi="Times New Roman" w:cs="Times New Roman"/>
                      <w:lang w:eastAsia="zh-CN"/>
                    </w:rPr>
                    <w:t>袋式吸尘器</w:t>
                  </w:r>
                  <w:r>
                    <w:rPr>
                      <w:rFonts w:hint="default" w:ascii="Times New Roman" w:hAnsi="Times New Roman" w:cs="Times New Roman"/>
                    </w:rPr>
                    <w:t>处理后无组织排放</w:t>
                  </w:r>
                </w:p>
              </w:tc>
              <w:tc>
                <w:tcPr>
                  <w:tcW w:w="3778" w:type="dxa"/>
                  <w:noWrap w:val="0"/>
                  <w:vAlign w:val="center"/>
                </w:tcPr>
                <w:p w14:paraId="60D17C16">
                  <w:pPr>
                    <w:pStyle w:val="24"/>
                    <w:keepNext w:val="0"/>
                    <w:keepLines w:val="0"/>
                    <w:pageBreakBefore w:val="0"/>
                    <w:widowControl w:val="0"/>
                    <w:kinsoku/>
                    <w:wordWrap/>
                    <w:overflowPunct/>
                    <w:topLinePunct w:val="0"/>
                    <w:autoSpaceDE/>
                    <w:autoSpaceDN/>
                    <w:bidi w:val="0"/>
                    <w:adjustRightInd w:val="0"/>
                    <w:snapToGrid w:val="0"/>
                    <w:ind w:left="0" w:leftChars="0" w:right="0" w:rightChars="0" w:firstLine="420" w:firstLineChars="200"/>
                    <w:jc w:val="left"/>
                    <w:textAlignment w:val="auto"/>
                    <w:rPr>
                      <w:rFonts w:hint="eastAsia"/>
                      <w:lang w:val="en-US" w:eastAsia="zh-CN"/>
                    </w:rPr>
                  </w:pPr>
                  <w:r>
                    <w:rPr>
                      <w:rFonts w:hint="default" w:ascii="Times New Roman" w:hAnsi="Times New Roman" w:cs="Times New Roman"/>
                    </w:rPr>
                    <w:t>抛光工序产生的粉尘</w:t>
                  </w:r>
                  <w:r>
                    <w:rPr>
                      <w:rFonts w:hint="default" w:ascii="Times New Roman" w:hAnsi="Times New Roman" w:cs="Times New Roman"/>
                      <w:lang w:eastAsia="zh-CN"/>
                    </w:rPr>
                    <w:t>由</w:t>
                  </w:r>
                  <w:r>
                    <w:rPr>
                      <w:rFonts w:hint="default" w:ascii="Times New Roman" w:hAnsi="Times New Roman" w:cs="Times New Roman"/>
                    </w:rPr>
                    <w:t>通过</w:t>
                  </w:r>
                  <w:r>
                    <w:rPr>
                      <w:rFonts w:hint="eastAsia" w:ascii="Times New Roman" w:hAnsi="Times New Roman" w:cs="Times New Roman"/>
                      <w:lang w:val="en-US" w:eastAsia="zh-CN"/>
                    </w:rPr>
                    <w:t>移动式滤筒</w:t>
                  </w:r>
                  <w:r>
                    <w:rPr>
                      <w:rFonts w:hint="default" w:ascii="Times New Roman" w:hAnsi="Times New Roman" w:cs="Times New Roman"/>
                      <w:lang w:eastAsia="zh-CN"/>
                    </w:rPr>
                    <w:t>吸尘器</w:t>
                  </w:r>
                  <w:r>
                    <w:rPr>
                      <w:rFonts w:hint="default" w:ascii="Times New Roman" w:hAnsi="Times New Roman" w:cs="Times New Roman"/>
                    </w:rPr>
                    <w:t>处理后无组织排放</w:t>
                  </w:r>
                </w:p>
              </w:tc>
            </w:tr>
          </w:tbl>
          <w:p w14:paraId="6CF7A2F9">
            <w:pPr>
              <w:pStyle w:val="56"/>
              <w:keepNext w:val="0"/>
              <w:keepLines w:val="0"/>
              <w:suppressLineNumbers w:val="0"/>
              <w:bidi w:val="0"/>
              <w:spacing w:before="0" w:beforeAutospacing="0" w:after="0" w:afterAutospacing="0"/>
              <w:ind w:left="0" w:right="0"/>
              <w:rPr>
                <w:rFonts w:hint="eastAsia" w:eastAsia="宋体"/>
                <w:lang w:eastAsia="zh-CN"/>
              </w:rPr>
            </w:pPr>
            <w:r>
              <w:rPr>
                <w:rFonts w:hint="eastAsia"/>
              </w:rPr>
              <w:t>表</w:t>
            </w:r>
            <w:r>
              <w:rPr>
                <w:rFonts w:hint="eastAsia" w:eastAsia="宋体"/>
                <w:lang w:val="en-US" w:eastAsia="zh-CN"/>
              </w:rPr>
              <w:t>2.1-10</w:t>
            </w:r>
            <w:r>
              <w:rPr>
                <w:rFonts w:hint="eastAsia"/>
              </w:rPr>
              <w:t xml:space="preserve"> 项目变动</w:t>
            </w:r>
            <w:r>
              <w:rPr>
                <w:rFonts w:hint="eastAsia"/>
                <w:lang w:eastAsia="zh-CN"/>
              </w:rPr>
              <w:t>与《</w:t>
            </w:r>
            <w:r>
              <w:rPr>
                <w:rFonts w:hint="eastAsia" w:ascii="宋体" w:hAnsi="宋体" w:cs="Times New Roman"/>
                <w:sz w:val="24"/>
                <w:szCs w:val="24"/>
                <w:lang w:eastAsia="zh-CN"/>
              </w:rPr>
              <w:t>污染影响类建设项目重大变动清单（试行）》对照表</w:t>
            </w:r>
          </w:p>
          <w:tbl>
            <w:tblPr>
              <w:tblStyle w:val="1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
              <w:gridCol w:w="3632"/>
              <w:gridCol w:w="2232"/>
              <w:gridCol w:w="2008"/>
            </w:tblGrid>
            <w:tr w14:paraId="609BF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430" w:type="dxa"/>
                  <w:noWrap w:val="0"/>
                  <w:vAlign w:val="center"/>
                </w:tcPr>
                <w:p w14:paraId="54769899">
                  <w:pPr>
                    <w:pStyle w:val="24"/>
                    <w:keepNext w:val="0"/>
                    <w:keepLines w:val="0"/>
                    <w:suppressLineNumbers w:val="0"/>
                    <w:bidi w:val="0"/>
                    <w:spacing w:before="0" w:beforeAutospacing="0" w:after="0" w:afterAutospacing="0"/>
                    <w:ind w:left="0" w:right="0"/>
                    <w:jc w:val="center"/>
                    <w:rPr>
                      <w:rFonts w:hint="default"/>
                    </w:rPr>
                  </w:pPr>
                  <w:r>
                    <w:rPr>
                      <w:rFonts w:hint="eastAsia"/>
                    </w:rPr>
                    <w:t>序号</w:t>
                  </w:r>
                </w:p>
              </w:tc>
              <w:tc>
                <w:tcPr>
                  <w:tcW w:w="3632" w:type="dxa"/>
                  <w:noWrap w:val="0"/>
                  <w:vAlign w:val="center"/>
                </w:tcPr>
                <w:p w14:paraId="2B868E2C">
                  <w:pPr>
                    <w:pStyle w:val="24"/>
                    <w:keepNext w:val="0"/>
                    <w:keepLines w:val="0"/>
                    <w:suppressLineNumbers w:val="0"/>
                    <w:bidi w:val="0"/>
                    <w:spacing w:before="0" w:beforeAutospacing="0" w:after="0" w:afterAutospacing="0"/>
                    <w:ind w:left="0" w:right="0"/>
                    <w:jc w:val="center"/>
                    <w:rPr>
                      <w:rFonts w:hint="eastAsia"/>
                    </w:rPr>
                  </w:pPr>
                  <w:r>
                    <w:rPr>
                      <w:rFonts w:hint="eastAsia"/>
                    </w:rPr>
                    <w:t>《污染影响类建设项目重大变动清单（试行）》</w:t>
                  </w:r>
                </w:p>
              </w:tc>
              <w:tc>
                <w:tcPr>
                  <w:tcW w:w="2232" w:type="dxa"/>
                  <w:noWrap w:val="0"/>
                  <w:vAlign w:val="center"/>
                </w:tcPr>
                <w:p w14:paraId="3A670146">
                  <w:pPr>
                    <w:pStyle w:val="24"/>
                    <w:keepNext w:val="0"/>
                    <w:keepLines w:val="0"/>
                    <w:suppressLineNumbers w:val="0"/>
                    <w:bidi w:val="0"/>
                    <w:spacing w:before="0" w:beforeAutospacing="0" w:after="0" w:afterAutospacing="0"/>
                    <w:ind w:left="0" w:right="0"/>
                    <w:jc w:val="center"/>
                    <w:rPr>
                      <w:rFonts w:hint="default"/>
                    </w:rPr>
                  </w:pPr>
                  <w:r>
                    <w:rPr>
                      <w:rFonts w:hint="eastAsia"/>
                      <w:lang w:val="en-US" w:eastAsia="zh-CN"/>
                    </w:rPr>
                    <w:t>本项目</w:t>
                  </w:r>
                  <w:r>
                    <w:rPr>
                      <w:rFonts w:hint="eastAsia"/>
                    </w:rPr>
                    <w:t>实际建设内容</w:t>
                  </w:r>
                </w:p>
              </w:tc>
              <w:tc>
                <w:tcPr>
                  <w:tcW w:w="2008" w:type="dxa"/>
                  <w:noWrap w:val="0"/>
                  <w:vAlign w:val="center"/>
                </w:tcPr>
                <w:p w14:paraId="2233C117">
                  <w:pPr>
                    <w:pStyle w:val="24"/>
                    <w:keepNext w:val="0"/>
                    <w:keepLines w:val="0"/>
                    <w:suppressLineNumbers w:val="0"/>
                    <w:bidi w:val="0"/>
                    <w:spacing w:before="0" w:beforeAutospacing="0" w:after="0" w:afterAutospacing="0"/>
                    <w:ind w:left="0" w:right="0"/>
                    <w:jc w:val="center"/>
                    <w:rPr>
                      <w:rFonts w:hint="eastAsia"/>
                      <w:lang w:eastAsia="zh-CN"/>
                    </w:rPr>
                  </w:pPr>
                  <w:r>
                    <w:rPr>
                      <w:rFonts w:hint="eastAsia"/>
                      <w:lang w:eastAsia="zh-CN"/>
                    </w:rPr>
                    <w:t>是否发生重大变动</w:t>
                  </w:r>
                </w:p>
              </w:tc>
            </w:tr>
            <w:tr w14:paraId="57913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430" w:type="dxa"/>
                  <w:noWrap w:val="0"/>
                  <w:vAlign w:val="center"/>
                </w:tcPr>
                <w:p w14:paraId="57BFE910">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1</w:t>
                  </w:r>
                </w:p>
              </w:tc>
              <w:tc>
                <w:tcPr>
                  <w:tcW w:w="3632" w:type="dxa"/>
                  <w:noWrap w:val="0"/>
                  <w:vAlign w:val="center"/>
                </w:tcPr>
                <w:p w14:paraId="689FC77B">
                  <w:pPr>
                    <w:pStyle w:val="24"/>
                    <w:keepNext w:val="0"/>
                    <w:keepLines w:val="0"/>
                    <w:suppressLineNumbers w:val="0"/>
                    <w:bidi w:val="0"/>
                    <w:spacing w:before="0" w:beforeAutospacing="0" w:after="0" w:afterAutospacing="0"/>
                    <w:ind w:left="0" w:right="0"/>
                    <w:jc w:val="both"/>
                    <w:rPr>
                      <w:rFonts w:hint="eastAsia"/>
                    </w:rPr>
                  </w:pPr>
                  <w:r>
                    <w:rPr>
                      <w:rFonts w:hint="eastAsia"/>
                    </w:rPr>
                    <w:t>1.建设项目开发、使用功能发生变化的。</w:t>
                  </w:r>
                </w:p>
              </w:tc>
              <w:tc>
                <w:tcPr>
                  <w:tcW w:w="2232" w:type="dxa"/>
                  <w:noWrap w:val="0"/>
                  <w:vAlign w:val="center"/>
                </w:tcPr>
                <w:p w14:paraId="7DBAE187">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本项目为改扩建项目</w:t>
                  </w:r>
                </w:p>
              </w:tc>
              <w:tc>
                <w:tcPr>
                  <w:tcW w:w="2008" w:type="dxa"/>
                  <w:noWrap w:val="0"/>
                  <w:vAlign w:val="center"/>
                </w:tcPr>
                <w:p w14:paraId="5680CE98">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与环评一致，未</w:t>
                  </w:r>
                  <w:r>
                    <w:rPr>
                      <w:rFonts w:hint="eastAsia"/>
                      <w:lang w:eastAsia="zh-CN"/>
                    </w:rPr>
                    <w:t>发生重大变动</w:t>
                  </w:r>
                </w:p>
              </w:tc>
            </w:tr>
            <w:tr w14:paraId="482DE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5" w:hRule="atLeast"/>
              </w:trPr>
              <w:tc>
                <w:tcPr>
                  <w:tcW w:w="430" w:type="dxa"/>
                  <w:noWrap w:val="0"/>
                  <w:vAlign w:val="center"/>
                </w:tcPr>
                <w:p w14:paraId="76510E27">
                  <w:pPr>
                    <w:pStyle w:val="24"/>
                    <w:keepNext w:val="0"/>
                    <w:keepLines w:val="0"/>
                    <w:suppressLineNumbers w:val="0"/>
                    <w:bidi w:val="0"/>
                    <w:spacing w:before="0" w:beforeAutospacing="0" w:after="0" w:afterAutospacing="0"/>
                    <w:ind w:left="0" w:right="0"/>
                    <w:jc w:val="both"/>
                    <w:rPr>
                      <w:rFonts w:hint="eastAsia" w:eastAsia="宋体"/>
                      <w:lang w:eastAsia="zh-CN"/>
                    </w:rPr>
                  </w:pPr>
                  <w:r>
                    <w:rPr>
                      <w:rFonts w:hint="eastAsia"/>
                      <w:lang w:val="en-US" w:eastAsia="zh-CN"/>
                    </w:rPr>
                    <w:t>2</w:t>
                  </w:r>
                </w:p>
              </w:tc>
              <w:tc>
                <w:tcPr>
                  <w:tcW w:w="3632" w:type="dxa"/>
                  <w:noWrap w:val="0"/>
                  <w:vAlign w:val="center"/>
                </w:tcPr>
                <w:p w14:paraId="24D655C7">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1.</w:t>
                  </w:r>
                  <w:r>
                    <w:rPr>
                      <w:rFonts w:hint="default"/>
                      <w:lang w:val="en-US" w:eastAsia="zh-CN"/>
                    </w:rPr>
                    <w:t>生产、处置或储存能力增大30%及以上的。</w:t>
                  </w:r>
                </w:p>
                <w:p w14:paraId="437E1B8B">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2.</w:t>
                  </w:r>
                  <w:r>
                    <w:rPr>
                      <w:rFonts w:hint="default"/>
                      <w:lang w:val="en-US" w:eastAsia="zh-CN"/>
                    </w:rPr>
                    <w:t>生产、处置或储存能力增大，导致废水第一类污染物排放量增加的。</w:t>
                  </w:r>
                </w:p>
                <w:p w14:paraId="20F06840">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3.</w:t>
                  </w:r>
                  <w:r>
                    <w:rPr>
                      <w:rFonts w:hint="default"/>
                      <w:lang w:val="en-US" w:eastAsia="zh-CN"/>
                    </w:rPr>
                    <w:t>位于环境质量不达标区的建设项目生产、处置或储存能力增大，导致相应污染物排放量增加的</w:t>
                  </w:r>
                  <w:r>
                    <w:rPr>
                      <w:rFonts w:hint="eastAsia"/>
                      <w:lang w:val="en-US" w:eastAsia="zh-CN"/>
                    </w:rPr>
                    <w:t>；位于达标区的建设项目生产、处置或储存能力增大，导致污染物排放量增加10%及以上的。</w:t>
                  </w:r>
                </w:p>
              </w:tc>
              <w:tc>
                <w:tcPr>
                  <w:tcW w:w="2232" w:type="dxa"/>
                  <w:noWrap w:val="0"/>
                  <w:vAlign w:val="center"/>
                </w:tcPr>
                <w:p w14:paraId="3345F8A1">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本项目生产</w:t>
                  </w:r>
                  <w:r>
                    <w:rPr>
                      <w:rFonts w:hint="default"/>
                      <w:lang w:val="en-US" w:eastAsia="zh-CN"/>
                    </w:rPr>
                    <w:t>、处置或储存能力</w:t>
                  </w:r>
                  <w:r>
                    <w:rPr>
                      <w:rFonts w:hint="eastAsia"/>
                      <w:lang w:val="en-US" w:eastAsia="zh-CN"/>
                    </w:rPr>
                    <w:t>未</w:t>
                  </w:r>
                  <w:r>
                    <w:rPr>
                      <w:rFonts w:hint="default"/>
                      <w:lang w:val="en-US" w:eastAsia="zh-CN"/>
                    </w:rPr>
                    <w:t>增大</w:t>
                  </w:r>
                  <w:r>
                    <w:rPr>
                      <w:rFonts w:hint="eastAsia"/>
                      <w:lang w:val="en-US" w:eastAsia="zh-CN"/>
                    </w:rPr>
                    <w:t>，污染物排放量未增加</w:t>
                  </w:r>
                </w:p>
              </w:tc>
              <w:tc>
                <w:tcPr>
                  <w:tcW w:w="2008" w:type="dxa"/>
                  <w:noWrap w:val="0"/>
                  <w:vAlign w:val="center"/>
                </w:tcPr>
                <w:p w14:paraId="02616364">
                  <w:pPr>
                    <w:pStyle w:val="24"/>
                    <w:keepNext w:val="0"/>
                    <w:keepLines w:val="0"/>
                    <w:suppressLineNumbers w:val="0"/>
                    <w:bidi w:val="0"/>
                    <w:spacing w:before="0" w:beforeAutospacing="0" w:after="0" w:afterAutospacing="0"/>
                    <w:ind w:left="0" w:right="0"/>
                    <w:jc w:val="both"/>
                    <w:rPr>
                      <w:rFonts w:hint="eastAsia"/>
                    </w:rPr>
                  </w:pPr>
                  <w:r>
                    <w:rPr>
                      <w:rFonts w:hint="eastAsia"/>
                      <w:lang w:val="en-US" w:eastAsia="zh-CN"/>
                    </w:rPr>
                    <w:t>与环评一致，未</w:t>
                  </w:r>
                  <w:r>
                    <w:rPr>
                      <w:rFonts w:hint="eastAsia"/>
                      <w:lang w:eastAsia="zh-CN"/>
                    </w:rPr>
                    <w:t>发生重大变动</w:t>
                  </w:r>
                </w:p>
              </w:tc>
            </w:tr>
            <w:tr w14:paraId="56508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6" w:hRule="atLeast"/>
              </w:trPr>
              <w:tc>
                <w:tcPr>
                  <w:tcW w:w="430" w:type="dxa"/>
                  <w:noWrap w:val="0"/>
                  <w:vAlign w:val="center"/>
                </w:tcPr>
                <w:p w14:paraId="1F23D7E5">
                  <w:pPr>
                    <w:pStyle w:val="24"/>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3</w:t>
                  </w:r>
                </w:p>
              </w:tc>
              <w:tc>
                <w:tcPr>
                  <w:tcW w:w="3632" w:type="dxa"/>
                  <w:noWrap w:val="0"/>
                  <w:vAlign w:val="center"/>
                </w:tcPr>
                <w:p w14:paraId="661556A8">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重新选址；在原厂址附近调整（包括总平面布置变化）导致环境防护距离范围变化且新增敏感点的。</w:t>
                  </w:r>
                </w:p>
              </w:tc>
              <w:tc>
                <w:tcPr>
                  <w:tcW w:w="2232" w:type="dxa"/>
                  <w:noWrap w:val="0"/>
                  <w:vAlign w:val="center"/>
                </w:tcPr>
                <w:p w14:paraId="71F8F1F2">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本项目位于安庆大观区现有厂房内，未重新选址</w:t>
                  </w:r>
                </w:p>
              </w:tc>
              <w:tc>
                <w:tcPr>
                  <w:tcW w:w="2008" w:type="dxa"/>
                  <w:noWrap w:val="0"/>
                  <w:vAlign w:val="center"/>
                </w:tcPr>
                <w:p w14:paraId="7EC175CE">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与环评一致，未</w:t>
                  </w:r>
                  <w:r>
                    <w:rPr>
                      <w:rFonts w:hint="eastAsia"/>
                      <w:lang w:eastAsia="zh-CN"/>
                    </w:rPr>
                    <w:t>发生重大变动</w:t>
                  </w:r>
                </w:p>
              </w:tc>
            </w:tr>
            <w:tr w14:paraId="3C94E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9" w:hRule="atLeast"/>
              </w:trPr>
              <w:tc>
                <w:tcPr>
                  <w:tcW w:w="430" w:type="dxa"/>
                  <w:noWrap w:val="0"/>
                  <w:vAlign w:val="center"/>
                </w:tcPr>
                <w:p w14:paraId="35F7F9A6">
                  <w:pPr>
                    <w:pStyle w:val="24"/>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4</w:t>
                  </w:r>
                </w:p>
              </w:tc>
              <w:tc>
                <w:tcPr>
                  <w:tcW w:w="3632" w:type="dxa"/>
                  <w:noWrap w:val="0"/>
                  <w:vAlign w:val="center"/>
                </w:tcPr>
                <w:p w14:paraId="725F7E30">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新增产品品种或生产工艺（含主要生产装置、设备及配套设施）、主要原辅材料、燃料变化，导致以下情形之一：</w:t>
                  </w:r>
                </w:p>
                <w:p w14:paraId="53F09650">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（1）新增排放污染物种类的（毒性、挥发性降低的除外）；</w:t>
                  </w:r>
                </w:p>
                <w:p w14:paraId="059905F7">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（2）位于环境质量不达标区的建设项目相应污染物排放量增加的；</w:t>
                  </w:r>
                </w:p>
                <w:p w14:paraId="45F33A8D">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（3）废水第一类污染物排放量增加的；</w:t>
                  </w:r>
                </w:p>
                <w:p w14:paraId="0563D11F">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（4）其他污染物排放量增加10%及以上的。</w:t>
                  </w:r>
                </w:p>
              </w:tc>
              <w:tc>
                <w:tcPr>
                  <w:tcW w:w="2232" w:type="dxa"/>
                  <w:noWrap w:val="0"/>
                  <w:vAlign w:val="center"/>
                </w:tcPr>
                <w:p w14:paraId="2B1125C7">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本项目实际建设相较于环评，未新增产品品种或生产工艺，主要原辅材料、燃料也未发生变化。</w:t>
                  </w:r>
                </w:p>
              </w:tc>
              <w:tc>
                <w:tcPr>
                  <w:tcW w:w="2008" w:type="dxa"/>
                  <w:noWrap w:val="0"/>
                  <w:vAlign w:val="center"/>
                </w:tcPr>
                <w:p w14:paraId="0BDBCC19">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与环评一致，未</w:t>
                  </w:r>
                  <w:r>
                    <w:rPr>
                      <w:rFonts w:hint="eastAsia"/>
                      <w:lang w:eastAsia="zh-CN"/>
                    </w:rPr>
                    <w:t>发生重大变动</w:t>
                  </w:r>
                </w:p>
              </w:tc>
            </w:tr>
            <w:tr w14:paraId="62B91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9" w:hRule="atLeast"/>
              </w:trPr>
              <w:tc>
                <w:tcPr>
                  <w:tcW w:w="430" w:type="dxa"/>
                  <w:noWrap w:val="0"/>
                  <w:vAlign w:val="center"/>
                </w:tcPr>
                <w:p w14:paraId="6C105784">
                  <w:pPr>
                    <w:pStyle w:val="24"/>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5</w:t>
                  </w:r>
                </w:p>
              </w:tc>
              <w:tc>
                <w:tcPr>
                  <w:tcW w:w="3632" w:type="dxa"/>
                  <w:noWrap w:val="0"/>
                  <w:vAlign w:val="center"/>
                </w:tcPr>
                <w:p w14:paraId="33FF295B">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物料运输、装卸、贮存方式变化，导致大气污染物无组织排放量增加10%及以上的。</w:t>
                  </w:r>
                </w:p>
              </w:tc>
              <w:tc>
                <w:tcPr>
                  <w:tcW w:w="2232" w:type="dxa"/>
                  <w:noWrap w:val="0"/>
                  <w:vAlign w:val="center"/>
                </w:tcPr>
                <w:p w14:paraId="111BBB18">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本项目实际生产相较于环评，物料运输、装卸、贮存方式未发生变化</w:t>
                  </w:r>
                </w:p>
              </w:tc>
              <w:tc>
                <w:tcPr>
                  <w:tcW w:w="2008" w:type="dxa"/>
                  <w:noWrap w:val="0"/>
                  <w:vAlign w:val="center"/>
                </w:tcPr>
                <w:p w14:paraId="1894C618">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与环评一致，未</w:t>
                  </w:r>
                  <w:r>
                    <w:rPr>
                      <w:rFonts w:hint="eastAsia"/>
                      <w:lang w:eastAsia="zh-CN"/>
                    </w:rPr>
                    <w:t>发生重大变动</w:t>
                  </w:r>
                </w:p>
              </w:tc>
            </w:tr>
            <w:tr w14:paraId="7FE33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0" w:hRule="atLeast"/>
              </w:trPr>
              <w:tc>
                <w:tcPr>
                  <w:tcW w:w="430" w:type="dxa"/>
                  <w:noWrap w:val="0"/>
                  <w:vAlign w:val="center"/>
                </w:tcPr>
                <w:p w14:paraId="04093765">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6</w:t>
                  </w:r>
                </w:p>
              </w:tc>
              <w:tc>
                <w:tcPr>
                  <w:tcW w:w="3632" w:type="dxa"/>
                  <w:noWrap w:val="0"/>
                  <w:vAlign w:val="center"/>
                </w:tcPr>
                <w:p w14:paraId="40A5437E">
                  <w:pPr>
                    <w:pStyle w:val="24"/>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废气、废水污染防治措施变化，导致第6条中所列情形之一（废气无组织排放改为有组织排放、污染防治措施强化或改进的除外）或大气污染物无组织排放量增加10%及以上的。</w:t>
                  </w:r>
                </w:p>
              </w:tc>
              <w:tc>
                <w:tcPr>
                  <w:tcW w:w="2232" w:type="dxa"/>
                  <w:noWrap w:val="0"/>
                  <w:vAlign w:val="center"/>
                </w:tcPr>
                <w:p w14:paraId="67602C5D">
                  <w:pPr>
                    <w:pStyle w:val="24"/>
                    <w:keepNext w:val="0"/>
                    <w:keepLines w:val="0"/>
                    <w:suppressLineNumbers w:val="0"/>
                    <w:bidi w:val="0"/>
                    <w:spacing w:before="0" w:beforeAutospacing="0" w:after="0" w:afterAutospacing="0"/>
                    <w:ind w:left="0" w:right="0"/>
                    <w:jc w:val="both"/>
                    <w:rPr>
                      <w:rFonts w:hint="eastAsia"/>
                      <w:lang w:val="en-US" w:eastAsia="zh-CN"/>
                    </w:rPr>
                  </w:pPr>
                  <w:r>
                    <w:rPr>
                      <w:rFonts w:hint="default" w:ascii="Times New Roman" w:hAnsi="Times New Roman" w:cs="Times New Roman"/>
                    </w:rPr>
                    <w:t>抛光工序产生的粉尘</w:t>
                  </w:r>
                  <w:r>
                    <w:rPr>
                      <w:rFonts w:hint="default" w:ascii="Times New Roman" w:hAnsi="Times New Roman" w:cs="Times New Roman"/>
                      <w:lang w:eastAsia="zh-CN"/>
                    </w:rPr>
                    <w:t>由</w:t>
                  </w:r>
                  <w:r>
                    <w:rPr>
                      <w:rFonts w:hint="eastAsia" w:cs="Times New Roman"/>
                      <w:lang w:val="en-US" w:eastAsia="zh-CN"/>
                    </w:rPr>
                    <w:t>袋式除尘器处理后无组织排放变为</w:t>
                  </w:r>
                  <w:r>
                    <w:rPr>
                      <w:rFonts w:hint="default" w:ascii="Times New Roman" w:hAnsi="Times New Roman" w:cs="Times New Roman"/>
                    </w:rPr>
                    <w:t>通过</w:t>
                  </w:r>
                  <w:r>
                    <w:rPr>
                      <w:rFonts w:hint="eastAsia" w:ascii="Times New Roman" w:hAnsi="Times New Roman" w:cs="Times New Roman"/>
                      <w:lang w:val="en-US" w:eastAsia="zh-CN"/>
                    </w:rPr>
                    <w:t>移动式滤筒</w:t>
                  </w:r>
                  <w:r>
                    <w:rPr>
                      <w:rFonts w:hint="default" w:ascii="Times New Roman" w:hAnsi="Times New Roman" w:cs="Times New Roman"/>
                      <w:lang w:eastAsia="zh-CN"/>
                    </w:rPr>
                    <w:t>吸尘器</w:t>
                  </w:r>
                  <w:r>
                    <w:rPr>
                      <w:rFonts w:hint="default" w:ascii="Times New Roman" w:hAnsi="Times New Roman" w:cs="Times New Roman"/>
                    </w:rPr>
                    <w:t>处理后无组织排放</w:t>
                  </w:r>
                </w:p>
              </w:tc>
              <w:tc>
                <w:tcPr>
                  <w:tcW w:w="2008" w:type="dxa"/>
                  <w:noWrap w:val="0"/>
                  <w:vAlign w:val="center"/>
                </w:tcPr>
                <w:p w14:paraId="0FCED5A3">
                  <w:pPr>
                    <w:pStyle w:val="24"/>
                    <w:keepNext w:val="0"/>
                    <w:keepLines w:val="0"/>
                    <w:suppressLineNumbers w:val="0"/>
                    <w:bidi w:val="0"/>
                    <w:spacing w:before="0" w:beforeAutospacing="0" w:after="0" w:afterAutospacing="0"/>
                    <w:ind w:left="0" w:right="0"/>
                    <w:jc w:val="both"/>
                    <w:rPr>
                      <w:rFonts w:hint="eastAsia"/>
                      <w:lang w:eastAsia="zh-CN"/>
                    </w:rPr>
                  </w:pPr>
                  <w:r>
                    <w:rPr>
                      <w:rFonts w:hint="eastAsia" w:cs="Times New Roman"/>
                      <w:lang w:val="en-US" w:eastAsia="zh-CN"/>
                    </w:rPr>
                    <w:t>根据《汽车工业污染防治可行技术指南》（HJ1181-2021）,滤筒除尘同袋式除尘一起养，都为颗粒物治理推荐方案，且治理效率都为95%左右；同时根据检测结果，厂界无组织未超标。</w:t>
                  </w:r>
                  <w:r>
                    <w:rPr>
                      <w:rFonts w:hint="eastAsia"/>
                      <w:lang w:val="en-US" w:eastAsia="zh-CN"/>
                    </w:rPr>
                    <w:t>其余与环评一致，未</w:t>
                  </w:r>
                  <w:r>
                    <w:rPr>
                      <w:rFonts w:hint="eastAsia"/>
                      <w:lang w:eastAsia="zh-CN"/>
                    </w:rPr>
                    <w:t>发生重大变动</w:t>
                  </w:r>
                </w:p>
              </w:tc>
            </w:tr>
            <w:tr w14:paraId="48491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2" w:hRule="atLeast"/>
              </w:trPr>
              <w:tc>
                <w:tcPr>
                  <w:tcW w:w="430" w:type="dxa"/>
                  <w:noWrap w:val="0"/>
                  <w:vAlign w:val="center"/>
                </w:tcPr>
                <w:p w14:paraId="4807EE8F">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7</w:t>
                  </w:r>
                </w:p>
              </w:tc>
              <w:tc>
                <w:tcPr>
                  <w:tcW w:w="3632" w:type="dxa"/>
                  <w:noWrap w:val="0"/>
                  <w:vAlign w:val="center"/>
                </w:tcPr>
                <w:p w14:paraId="5778BB35">
                  <w:pPr>
                    <w:pStyle w:val="24"/>
                    <w:keepNext w:val="0"/>
                    <w:keepLines w:val="0"/>
                    <w:suppressLineNumbers w:val="0"/>
                    <w:bidi w:val="0"/>
                    <w:spacing w:before="0" w:beforeAutospacing="0" w:after="0" w:afterAutospacing="0"/>
                    <w:ind w:left="0" w:right="0"/>
                    <w:jc w:val="both"/>
                    <w:rPr>
                      <w:rFonts w:hint="eastAsia"/>
                    </w:rPr>
                  </w:pPr>
                  <w:r>
                    <w:rPr>
                      <w:rFonts w:hint="eastAsia"/>
                    </w:rPr>
                    <w:t>新增废水直接排放口；废水由间接排放改为直接排放；废水直接排放口位置变化，导致不利环境影响加重的。</w:t>
                  </w:r>
                </w:p>
              </w:tc>
              <w:tc>
                <w:tcPr>
                  <w:tcW w:w="2232" w:type="dxa"/>
                  <w:noWrap w:val="0"/>
                  <w:vAlign w:val="center"/>
                </w:tcPr>
                <w:p w14:paraId="0A839798">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本项目不新增</w:t>
                  </w:r>
                  <w:r>
                    <w:rPr>
                      <w:rFonts w:hint="eastAsia"/>
                    </w:rPr>
                    <w:t>直接排放口</w:t>
                  </w:r>
                  <w:r>
                    <w:rPr>
                      <w:rFonts w:hint="eastAsia"/>
                      <w:lang w:eastAsia="zh-CN"/>
                    </w:rPr>
                    <w:t>，</w:t>
                  </w:r>
                  <w:r>
                    <w:rPr>
                      <w:rFonts w:hint="eastAsia"/>
                    </w:rPr>
                    <w:t>废水</w:t>
                  </w:r>
                  <w:r>
                    <w:rPr>
                      <w:rFonts w:hint="default"/>
                    </w:rPr>
                    <w:t>经污水管网排入城东污水处理厂处理。</w:t>
                  </w:r>
                </w:p>
              </w:tc>
              <w:tc>
                <w:tcPr>
                  <w:tcW w:w="2008" w:type="dxa"/>
                  <w:noWrap w:val="0"/>
                  <w:vAlign w:val="center"/>
                </w:tcPr>
                <w:p w14:paraId="6AF1DBA4">
                  <w:pPr>
                    <w:pStyle w:val="24"/>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r w14:paraId="5DFB5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2" w:hRule="atLeast"/>
              </w:trPr>
              <w:tc>
                <w:tcPr>
                  <w:tcW w:w="430" w:type="dxa"/>
                  <w:noWrap w:val="0"/>
                  <w:vAlign w:val="center"/>
                </w:tcPr>
                <w:p w14:paraId="1638A9E5">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8</w:t>
                  </w:r>
                </w:p>
              </w:tc>
              <w:tc>
                <w:tcPr>
                  <w:tcW w:w="3632" w:type="dxa"/>
                  <w:noWrap w:val="0"/>
                  <w:vAlign w:val="center"/>
                </w:tcPr>
                <w:p w14:paraId="31EE3666">
                  <w:pPr>
                    <w:pStyle w:val="24"/>
                    <w:keepNext w:val="0"/>
                    <w:keepLines w:val="0"/>
                    <w:suppressLineNumbers w:val="0"/>
                    <w:bidi w:val="0"/>
                    <w:spacing w:before="0" w:beforeAutospacing="0" w:after="0" w:afterAutospacing="0"/>
                    <w:ind w:left="0" w:right="0"/>
                    <w:jc w:val="both"/>
                    <w:rPr>
                      <w:rFonts w:hint="eastAsia"/>
                    </w:rPr>
                  </w:pPr>
                  <w:r>
                    <w:rPr>
                      <w:rFonts w:hint="eastAsia"/>
                    </w:rPr>
                    <w:t>新增废气主要排放口（废气无组织排放改为有组织排放的除外）；主要排放口排气筒高度降低10%及以上的。</w:t>
                  </w:r>
                </w:p>
              </w:tc>
              <w:tc>
                <w:tcPr>
                  <w:tcW w:w="2232" w:type="dxa"/>
                  <w:noWrap w:val="0"/>
                  <w:vAlign w:val="center"/>
                </w:tcPr>
                <w:p w14:paraId="1A56FD9E">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本项目不新增</w:t>
                  </w:r>
                  <w:r>
                    <w:rPr>
                      <w:rFonts w:hint="eastAsia"/>
                    </w:rPr>
                    <w:t>废气主要排放口</w:t>
                  </w:r>
                  <w:r>
                    <w:rPr>
                      <w:rFonts w:hint="eastAsia"/>
                      <w:lang w:eastAsia="zh-CN"/>
                    </w:rPr>
                    <w:t>，</w:t>
                  </w:r>
                  <w:r>
                    <w:rPr>
                      <w:rFonts w:hint="eastAsia"/>
                      <w:lang w:val="en-US" w:eastAsia="zh-CN"/>
                    </w:rPr>
                    <w:t>未降低废气排气筒高度</w:t>
                  </w:r>
                </w:p>
              </w:tc>
              <w:tc>
                <w:tcPr>
                  <w:tcW w:w="2008" w:type="dxa"/>
                  <w:noWrap w:val="0"/>
                  <w:vAlign w:val="center"/>
                </w:tcPr>
                <w:p w14:paraId="3F7B2574">
                  <w:pPr>
                    <w:pStyle w:val="24"/>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r w14:paraId="13E7E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6" w:hRule="atLeast"/>
              </w:trPr>
              <w:tc>
                <w:tcPr>
                  <w:tcW w:w="430" w:type="dxa"/>
                  <w:noWrap w:val="0"/>
                  <w:vAlign w:val="center"/>
                </w:tcPr>
                <w:p w14:paraId="0EC5B96F">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9</w:t>
                  </w:r>
                </w:p>
              </w:tc>
              <w:tc>
                <w:tcPr>
                  <w:tcW w:w="3632" w:type="dxa"/>
                  <w:noWrap w:val="0"/>
                  <w:vAlign w:val="center"/>
                </w:tcPr>
                <w:p w14:paraId="147FB668">
                  <w:pPr>
                    <w:pStyle w:val="24"/>
                    <w:keepNext w:val="0"/>
                    <w:keepLines w:val="0"/>
                    <w:suppressLineNumbers w:val="0"/>
                    <w:bidi w:val="0"/>
                    <w:spacing w:before="0" w:beforeAutospacing="0" w:after="0" w:afterAutospacing="0"/>
                    <w:ind w:left="0" w:right="0"/>
                    <w:jc w:val="both"/>
                    <w:rPr>
                      <w:rFonts w:hint="eastAsia"/>
                    </w:rPr>
                  </w:pPr>
                  <w:r>
                    <w:rPr>
                      <w:rFonts w:hint="eastAsia"/>
                    </w:rPr>
                    <w:t>噪声、土壤或地下水污染防治措施变化，导致不利环境影响加重的。</w:t>
                  </w:r>
                </w:p>
              </w:tc>
              <w:tc>
                <w:tcPr>
                  <w:tcW w:w="2232" w:type="dxa"/>
                  <w:noWrap w:val="0"/>
                  <w:vAlign w:val="center"/>
                </w:tcPr>
                <w:p w14:paraId="3BCF058B">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本项目实际生产相较于环评，</w:t>
                  </w:r>
                  <w:r>
                    <w:rPr>
                      <w:rFonts w:hint="eastAsia"/>
                    </w:rPr>
                    <w:t>噪声、土壤或地下水污染防治措施</w:t>
                  </w:r>
                  <w:r>
                    <w:rPr>
                      <w:rFonts w:hint="eastAsia"/>
                      <w:lang w:val="en-US" w:eastAsia="zh-CN"/>
                    </w:rPr>
                    <w:t>未发生</w:t>
                  </w:r>
                  <w:r>
                    <w:rPr>
                      <w:rFonts w:hint="eastAsia"/>
                    </w:rPr>
                    <w:t>变化</w:t>
                  </w:r>
                </w:p>
              </w:tc>
              <w:tc>
                <w:tcPr>
                  <w:tcW w:w="2008" w:type="dxa"/>
                  <w:noWrap w:val="0"/>
                  <w:vAlign w:val="center"/>
                </w:tcPr>
                <w:p w14:paraId="5CEBA4C9">
                  <w:pPr>
                    <w:pStyle w:val="24"/>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r w14:paraId="59B26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9" w:hRule="atLeast"/>
              </w:trPr>
              <w:tc>
                <w:tcPr>
                  <w:tcW w:w="430" w:type="dxa"/>
                  <w:noWrap w:val="0"/>
                  <w:vAlign w:val="center"/>
                </w:tcPr>
                <w:p w14:paraId="0ECE4DA0">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10</w:t>
                  </w:r>
                </w:p>
              </w:tc>
              <w:tc>
                <w:tcPr>
                  <w:tcW w:w="3632" w:type="dxa"/>
                  <w:noWrap w:val="0"/>
                  <w:vAlign w:val="center"/>
                </w:tcPr>
                <w:p w14:paraId="58E93834">
                  <w:pPr>
                    <w:pStyle w:val="24"/>
                    <w:keepNext w:val="0"/>
                    <w:keepLines w:val="0"/>
                    <w:suppressLineNumbers w:val="0"/>
                    <w:bidi w:val="0"/>
                    <w:spacing w:before="0" w:beforeAutospacing="0" w:after="0" w:afterAutospacing="0"/>
                    <w:ind w:left="0" w:right="0"/>
                    <w:jc w:val="both"/>
                    <w:rPr>
                      <w:rFonts w:hint="eastAsia"/>
                    </w:rPr>
                  </w:pPr>
                  <w:r>
                    <w:rPr>
                      <w:rFonts w:hint="eastAsia"/>
                    </w:rPr>
                    <w:t>.固体废物利用处置方式由委托外单位利用处置改为自行利用处置的（自行利用处置设施单独开展环境影响评价的除外）；固体废物自行处置方式变化，导致不利环境影响加重的。</w:t>
                  </w:r>
                </w:p>
              </w:tc>
              <w:tc>
                <w:tcPr>
                  <w:tcW w:w="2232" w:type="dxa"/>
                  <w:noWrap w:val="0"/>
                  <w:vAlign w:val="center"/>
                </w:tcPr>
                <w:p w14:paraId="7CA126A8">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本项目实际生产相较于环评，</w:t>
                  </w:r>
                  <w:r>
                    <w:rPr>
                      <w:rFonts w:hint="eastAsia"/>
                    </w:rPr>
                    <w:t>固体废物利用处置方式</w:t>
                  </w:r>
                  <w:r>
                    <w:rPr>
                      <w:rFonts w:hint="eastAsia"/>
                      <w:lang w:val="en-US" w:eastAsia="zh-CN"/>
                    </w:rPr>
                    <w:t>依旧未</w:t>
                  </w:r>
                  <w:r>
                    <w:rPr>
                      <w:rFonts w:hint="eastAsia"/>
                    </w:rPr>
                    <w:t>委托外单位利用处置</w:t>
                  </w:r>
                  <w:r>
                    <w:rPr>
                      <w:rFonts w:hint="eastAsia"/>
                      <w:lang w:eastAsia="zh-CN"/>
                    </w:rPr>
                    <w:t>，</w:t>
                  </w:r>
                  <w:r>
                    <w:rPr>
                      <w:rFonts w:hint="eastAsia"/>
                      <w:lang w:val="en-US" w:eastAsia="zh-CN"/>
                    </w:rPr>
                    <w:t>未改变</w:t>
                  </w:r>
                </w:p>
              </w:tc>
              <w:tc>
                <w:tcPr>
                  <w:tcW w:w="2008" w:type="dxa"/>
                  <w:noWrap w:val="0"/>
                  <w:vAlign w:val="center"/>
                </w:tcPr>
                <w:p w14:paraId="33FD63F3">
                  <w:pPr>
                    <w:pStyle w:val="24"/>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r w14:paraId="0C3F2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9" w:hRule="atLeast"/>
              </w:trPr>
              <w:tc>
                <w:tcPr>
                  <w:tcW w:w="430" w:type="dxa"/>
                  <w:noWrap w:val="0"/>
                  <w:vAlign w:val="center"/>
                </w:tcPr>
                <w:p w14:paraId="41467A9E">
                  <w:pPr>
                    <w:pStyle w:val="24"/>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11</w:t>
                  </w:r>
                </w:p>
              </w:tc>
              <w:tc>
                <w:tcPr>
                  <w:tcW w:w="3632" w:type="dxa"/>
                  <w:noWrap w:val="0"/>
                  <w:vAlign w:val="center"/>
                </w:tcPr>
                <w:p w14:paraId="6123CF9D">
                  <w:pPr>
                    <w:pStyle w:val="24"/>
                    <w:keepNext w:val="0"/>
                    <w:keepLines w:val="0"/>
                    <w:suppressLineNumbers w:val="0"/>
                    <w:bidi w:val="0"/>
                    <w:spacing w:before="0" w:beforeAutospacing="0" w:after="0" w:afterAutospacing="0"/>
                    <w:ind w:left="0" w:right="0"/>
                    <w:jc w:val="both"/>
                    <w:rPr>
                      <w:rFonts w:hint="eastAsia"/>
                    </w:rPr>
                  </w:pPr>
                  <w:r>
                    <w:rPr>
                      <w:rFonts w:hint="eastAsia"/>
                    </w:rPr>
                    <w:t>事故废水暂存能力或拦截设施变化，导致环境风险防范能力弱化或降低的。</w:t>
                  </w:r>
                </w:p>
              </w:tc>
              <w:tc>
                <w:tcPr>
                  <w:tcW w:w="2232" w:type="dxa"/>
                  <w:noWrap w:val="0"/>
                  <w:vAlign w:val="center"/>
                </w:tcPr>
                <w:p w14:paraId="0F220DFC">
                  <w:pPr>
                    <w:pStyle w:val="24"/>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本项目依托现有</w:t>
                  </w:r>
                  <w:r>
                    <w:rPr>
                      <w:rFonts w:hint="eastAsia"/>
                    </w:rPr>
                    <w:t>厂区</w:t>
                  </w:r>
                  <w:r>
                    <w:rPr>
                      <w:rFonts w:hint="eastAsia"/>
                      <w:lang w:val="en-US" w:eastAsia="zh-CN"/>
                    </w:rPr>
                    <w:t>的200</w:t>
                  </w:r>
                  <w:r>
                    <w:rPr>
                      <w:rFonts w:hint="default"/>
                    </w:rPr>
                    <w:t>m</w:t>
                  </w:r>
                  <w:r>
                    <w:rPr>
                      <w:rFonts w:hint="default"/>
                      <w:vertAlign w:val="superscript"/>
                    </w:rPr>
                    <w:t>3</w:t>
                  </w:r>
                  <w:r>
                    <w:rPr>
                      <w:rFonts w:hint="default"/>
                    </w:rPr>
                    <w:t>的事故池</w:t>
                  </w:r>
                  <w:r>
                    <w:rPr>
                      <w:rFonts w:hint="eastAsia"/>
                      <w:lang w:eastAsia="zh-CN"/>
                    </w:rPr>
                    <w:t>。</w:t>
                  </w:r>
                </w:p>
              </w:tc>
              <w:tc>
                <w:tcPr>
                  <w:tcW w:w="2008" w:type="dxa"/>
                  <w:noWrap w:val="0"/>
                  <w:vAlign w:val="center"/>
                </w:tcPr>
                <w:p w14:paraId="5835049B">
                  <w:pPr>
                    <w:pStyle w:val="24"/>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bl>
          <w:p w14:paraId="7892A958">
            <w:pPr>
              <w:pStyle w:val="10"/>
              <w:rPr>
                <w:rFonts w:hint="default"/>
              </w:rPr>
            </w:pPr>
          </w:p>
        </w:tc>
      </w:tr>
    </w:tbl>
    <w:p w14:paraId="3EC545B3">
      <w:pPr>
        <w:widowControl/>
        <w:adjustRightInd w:val="0"/>
        <w:snapToGrid w:val="0"/>
        <w:spacing w:line="360" w:lineRule="auto"/>
        <w:jc w:val="left"/>
        <w:rPr>
          <w:rFonts w:ascii="Tahoma" w:hAnsi="Tahoma" w:eastAsia="仿宋_GB2312" w:cs="Times New Roman"/>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cols w:space="720" w:num="1"/>
          <w:docGrid w:linePitch="360" w:charSpace="0"/>
        </w:sectPr>
      </w:pPr>
    </w:p>
    <w:p w14:paraId="1EA98D1D">
      <w:pPr>
        <w:pStyle w:val="2"/>
        <w:bidi w:val="0"/>
      </w:pPr>
      <w:r>
        <w:t>表</w:t>
      </w:r>
      <w:r>
        <w:rPr>
          <w:rFonts w:hint="eastAsia"/>
        </w:rPr>
        <w:t>三</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6CA5C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5" w:hRule="atLeast"/>
          <w:jc w:val="center"/>
        </w:trPr>
        <w:tc>
          <w:tcPr>
            <w:tcW w:w="8924" w:type="dxa"/>
          </w:tcPr>
          <w:p w14:paraId="673F8E5B">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sz w:val="24"/>
                <w:szCs w:val="32"/>
                <w14:textFill>
                  <w14:solidFill>
                    <w14:schemeClr w14:val="tx1"/>
                  </w14:solidFill>
                </w14:textFill>
              </w:rPr>
            </w:pPr>
            <w:r>
              <w:rPr>
                <w:rFonts w:hint="eastAsia" w:ascii="Times New Roman" w:hAnsi="Times New Roman" w:eastAsia="宋体" w:cs="Times New Roman"/>
                <w:color w:val="000000" w:themeColor="text1"/>
                <w:sz w:val="24"/>
                <w:szCs w:val="32"/>
                <w14:textFill>
                  <w14:solidFill>
                    <w14:schemeClr w14:val="tx1"/>
                  </w14:solidFill>
                </w14:textFill>
              </w:rPr>
              <w:t>项目实际营运期主要污染源、污染物处理及排放情况如下：</w:t>
            </w:r>
          </w:p>
          <w:p w14:paraId="7A6A3B78">
            <w:pPr>
              <w:pStyle w:val="3"/>
              <w:suppressLineNumbers w:val="0"/>
              <w:bidi w:val="0"/>
              <w:spacing w:before="0" w:beforeAutospacing="0" w:after="0" w:afterAutospacing="0"/>
              <w:ind w:left="0" w:right="0"/>
              <w:rPr>
                <w:rFonts w:hint="default"/>
              </w:rPr>
            </w:pPr>
            <w:r>
              <w:rPr>
                <w:rFonts w:hint="eastAsia"/>
              </w:rPr>
              <w:t>3.1项目主要污染物产生量及排放情况</w:t>
            </w:r>
          </w:p>
          <w:p w14:paraId="27E9D8F6">
            <w:pPr>
              <w:pStyle w:val="4"/>
              <w:suppressLineNumbers w:val="0"/>
              <w:bidi w:val="0"/>
              <w:spacing w:before="0" w:beforeAutospacing="0" w:after="0" w:afterAutospacing="0"/>
              <w:ind w:left="0" w:right="0"/>
              <w:rPr>
                <w:rFonts w:hint="default"/>
              </w:rPr>
            </w:pPr>
            <w:r>
              <w:rPr>
                <w:rFonts w:hint="eastAsia"/>
              </w:rPr>
              <w:t>3.1.1废气</w:t>
            </w:r>
          </w:p>
          <w:p w14:paraId="266B5575">
            <w:pPr>
              <w:keepNext w:val="0"/>
              <w:keepLines w:val="0"/>
              <w:suppressLineNumbers w:val="0"/>
              <w:spacing w:before="0" w:beforeAutospacing="0" w:after="0" w:afterAutospacing="0" w:line="360" w:lineRule="auto"/>
              <w:ind w:left="0" w:right="0" w:firstLine="480" w:firstLineChars="200"/>
              <w:rPr>
                <w:rFonts w:hint="eastAsia" w:ascii="Calibri" w:hAnsi="Calibri" w:eastAsia="宋体" w:cs="Times New Roman"/>
                <w:bCs/>
                <w:sz w:val="24"/>
                <w:szCs w:val="24"/>
              </w:rPr>
            </w:pPr>
            <w:r>
              <w:rPr>
                <w:rFonts w:hint="eastAsia"/>
              </w:rPr>
              <w:t>项目</w:t>
            </w:r>
            <w:r>
              <w:rPr>
                <w:rFonts w:hint="default"/>
              </w:rPr>
              <w:t>产生的废气污染物主要包括</w:t>
            </w:r>
            <w:r>
              <w:rPr>
                <w:rFonts w:hint="eastAsia"/>
              </w:rPr>
              <w:t>磨削</w:t>
            </w:r>
            <w:r>
              <w:rPr>
                <w:rFonts w:hint="eastAsia"/>
                <w:lang w:eastAsia="zh-CN"/>
              </w:rPr>
              <w:t>、切削</w:t>
            </w:r>
            <w:r>
              <w:rPr>
                <w:rFonts w:hint="eastAsia"/>
              </w:rPr>
              <w:t>工序产生的油雾、抛光工序产生的粉尘</w:t>
            </w:r>
            <w:r>
              <w:rPr>
                <w:rFonts w:hint="default"/>
              </w:rPr>
              <w:t>。</w:t>
            </w:r>
          </w:p>
          <w:p w14:paraId="7133B90B">
            <w:pPr>
              <w:keepNext w:val="0"/>
              <w:keepLines w:val="0"/>
              <w:suppressLineNumbers w:val="0"/>
              <w:spacing w:before="0" w:beforeAutospacing="0" w:after="0" w:afterAutospacing="0" w:line="360" w:lineRule="auto"/>
              <w:ind w:left="0" w:right="0" w:firstLine="480" w:firstLineChars="200"/>
              <w:rPr>
                <w:rFonts w:hint="eastAsia" w:ascii="Calibri" w:hAnsi="Calibri" w:cs="Times New Roman" w:eastAsiaTheme="minorEastAsia"/>
                <w:bCs/>
                <w:sz w:val="24"/>
                <w:szCs w:val="24"/>
                <w:lang w:val="en-US" w:eastAsia="zh-CN"/>
              </w:rPr>
            </w:pPr>
            <w:r>
              <w:rPr>
                <w:rFonts w:hint="eastAsia" w:ascii="Calibri" w:hAnsi="Calibri" w:eastAsia="宋体" w:cs="Times New Roman"/>
                <w:bCs/>
                <w:sz w:val="24"/>
                <w:szCs w:val="24"/>
                <w:lang w:eastAsia="zh-CN"/>
              </w:rPr>
              <w:t>（</w:t>
            </w:r>
            <w:r>
              <w:rPr>
                <w:rFonts w:hint="eastAsia" w:ascii="Calibri" w:hAnsi="Calibri" w:eastAsia="宋体" w:cs="Times New Roman"/>
                <w:bCs/>
                <w:sz w:val="24"/>
                <w:szCs w:val="24"/>
                <w:lang w:val="en-US" w:eastAsia="zh-CN"/>
              </w:rPr>
              <w:t>1</w:t>
            </w:r>
            <w:r>
              <w:rPr>
                <w:rFonts w:hint="eastAsia" w:ascii="Calibri" w:hAnsi="Calibri" w:eastAsia="宋体" w:cs="Times New Roman"/>
                <w:bCs/>
                <w:sz w:val="24"/>
                <w:szCs w:val="24"/>
                <w:lang w:eastAsia="zh-CN"/>
              </w:rPr>
              <w:t>）</w:t>
            </w:r>
            <w:r>
              <w:rPr>
                <w:rFonts w:hint="eastAsia" w:ascii="Calibri" w:hAnsi="Calibri" w:eastAsia="宋体" w:cs="Times New Roman"/>
                <w:bCs/>
                <w:sz w:val="24"/>
                <w:szCs w:val="24"/>
                <w:lang w:val="en-US" w:eastAsia="zh-CN"/>
              </w:rPr>
              <w:t>打磨废气：</w:t>
            </w:r>
            <w:r>
              <w:rPr>
                <w:rFonts w:hint="eastAsia"/>
              </w:rPr>
              <w:t>项目在</w:t>
            </w:r>
            <w:r>
              <w:rPr>
                <w:rFonts w:hint="eastAsia"/>
                <w:lang w:eastAsia="zh-CN"/>
              </w:rPr>
              <w:t>自动车床、</w:t>
            </w:r>
            <w:r>
              <w:rPr>
                <w:rFonts w:hint="eastAsia"/>
              </w:rPr>
              <w:t>成型磨、梯面磨及精珩磨工序会使用</w:t>
            </w:r>
            <w:r>
              <w:rPr>
                <w:rFonts w:hint="eastAsia"/>
                <w:lang w:eastAsia="zh-CN"/>
              </w:rPr>
              <w:t>切削液和磨削液</w:t>
            </w:r>
            <w:r>
              <w:rPr>
                <w:rFonts w:hint="eastAsia"/>
              </w:rPr>
              <w:t>进行打磨，在</w:t>
            </w:r>
            <w:r>
              <w:rPr>
                <w:rFonts w:hint="eastAsia"/>
                <w:lang w:eastAsia="zh-CN"/>
              </w:rPr>
              <w:t>打磨</w:t>
            </w:r>
            <w:r>
              <w:rPr>
                <w:rFonts w:hint="eastAsia"/>
              </w:rPr>
              <w:t>的</w:t>
            </w:r>
            <w:r>
              <w:rPr>
                <w:rFonts w:hint="default"/>
              </w:rPr>
              <w:t>同时会产生</w:t>
            </w:r>
            <w:r>
              <w:rPr>
                <w:rFonts w:hint="eastAsia"/>
                <w:lang w:val="en-US" w:eastAsia="zh-CN"/>
              </w:rPr>
              <w:t>非甲烷总烃</w:t>
            </w:r>
            <w:r>
              <w:rPr>
                <w:rFonts w:hint="eastAsia"/>
                <w:lang w:eastAsia="zh-CN"/>
              </w:rPr>
              <w:t>。</w:t>
            </w:r>
            <w:r>
              <w:rPr>
                <w:rFonts w:hint="eastAsia"/>
                <w:lang w:val="en-US" w:eastAsia="zh-CN"/>
              </w:rPr>
              <w:t>打磨设备密闭工作，</w:t>
            </w:r>
            <w:r>
              <w:rPr>
                <w:rFonts w:hint="default"/>
              </w:rPr>
              <w:t>产生的</w:t>
            </w:r>
            <w:r>
              <w:rPr>
                <w:rFonts w:hint="eastAsia"/>
                <w:lang w:val="en-US" w:eastAsia="zh-CN"/>
              </w:rPr>
              <w:t>非甲烷总烃通过各自设备自带</w:t>
            </w:r>
            <w:r>
              <w:rPr>
                <w:rFonts w:hint="eastAsia"/>
              </w:rPr>
              <w:t>静电</w:t>
            </w:r>
            <w:r>
              <w:rPr>
                <w:rFonts w:hint="eastAsia"/>
                <w:lang w:eastAsia="zh-CN"/>
              </w:rPr>
              <w:t>油雾净化器</w:t>
            </w:r>
            <w:r>
              <w:rPr>
                <w:rFonts w:hint="eastAsia"/>
              </w:rPr>
              <w:t>处理后</w:t>
            </w:r>
            <w:r>
              <w:rPr>
                <w:rFonts w:hint="eastAsia"/>
                <w:lang w:eastAsia="zh-CN"/>
              </w:rPr>
              <w:t>无组织排放</w:t>
            </w:r>
          </w:p>
          <w:p w14:paraId="43AE1DFF">
            <w:pPr>
              <w:keepNext w:val="0"/>
              <w:keepLines w:val="0"/>
              <w:suppressLineNumbers w:val="0"/>
              <w:spacing w:before="0" w:beforeAutospacing="0" w:after="0" w:afterAutospacing="0" w:line="360" w:lineRule="auto"/>
              <w:ind w:left="0" w:right="0" w:firstLine="480" w:firstLineChars="200"/>
              <w:rPr>
                <w:rFonts w:hint="eastAsia" w:ascii="Calibri" w:hAnsi="Calibri" w:eastAsia="宋体" w:cs="Times New Roman"/>
                <w:bCs/>
                <w:sz w:val="24"/>
                <w:szCs w:val="24"/>
                <w:lang w:eastAsia="zh-CN"/>
              </w:rPr>
            </w:pPr>
            <w:r>
              <w:rPr>
                <w:rFonts w:hint="eastAsia" w:ascii="Calibri" w:hAnsi="Calibri" w:eastAsia="宋体" w:cs="Times New Roman"/>
                <w:bCs/>
                <w:sz w:val="24"/>
                <w:szCs w:val="24"/>
                <w:lang w:eastAsia="zh-CN"/>
              </w:rPr>
              <w:t>（</w:t>
            </w:r>
            <w:r>
              <w:rPr>
                <w:rFonts w:hint="eastAsia" w:ascii="Calibri" w:hAnsi="Calibri" w:eastAsia="宋体" w:cs="Times New Roman"/>
                <w:bCs/>
                <w:sz w:val="24"/>
                <w:szCs w:val="24"/>
                <w:lang w:val="en-US" w:eastAsia="zh-CN"/>
              </w:rPr>
              <w:t>2</w:t>
            </w:r>
            <w:r>
              <w:rPr>
                <w:rFonts w:hint="eastAsia" w:ascii="Calibri" w:hAnsi="Calibri" w:eastAsia="宋体" w:cs="Times New Roman"/>
                <w:bCs/>
                <w:sz w:val="24"/>
                <w:szCs w:val="24"/>
                <w:lang w:eastAsia="zh-CN"/>
              </w:rPr>
              <w:t>）</w:t>
            </w:r>
            <w:r>
              <w:rPr>
                <w:rFonts w:hint="eastAsia"/>
              </w:rPr>
              <w:t>抛光废气</w:t>
            </w:r>
          </w:p>
          <w:p w14:paraId="05BE399B">
            <w:pPr>
              <w:keepNext w:val="0"/>
              <w:keepLines w:val="0"/>
              <w:suppressLineNumbers w:val="0"/>
              <w:spacing w:before="0" w:beforeAutospacing="0" w:after="0" w:afterAutospacing="0" w:line="360" w:lineRule="auto"/>
              <w:ind w:left="0" w:right="0" w:firstLine="480" w:firstLineChars="200"/>
              <w:rPr>
                <w:rFonts w:hint="eastAsia" w:ascii="Calibri" w:hAnsi="Calibri" w:eastAsia="宋体" w:cs="Times New Roman"/>
                <w:bCs/>
                <w:sz w:val="24"/>
                <w:szCs w:val="24"/>
              </w:rPr>
            </w:pPr>
            <w:r>
              <w:rPr>
                <w:rFonts w:hint="default"/>
              </w:rPr>
              <w:t>在对</w:t>
            </w:r>
            <w:r>
              <w:rPr>
                <w:rFonts w:hint="eastAsia"/>
              </w:rPr>
              <w:t>工件</w:t>
            </w:r>
            <w:r>
              <w:rPr>
                <w:rFonts w:hint="default"/>
              </w:rPr>
              <w:t>进行抛</w:t>
            </w:r>
            <w:r>
              <w:rPr>
                <w:rFonts w:hint="eastAsia"/>
              </w:rPr>
              <w:t>光</w:t>
            </w:r>
            <w:r>
              <w:rPr>
                <w:rFonts w:hint="default"/>
              </w:rPr>
              <w:t>处理时，会产生粉尘。</w:t>
            </w:r>
            <w:r>
              <w:rPr>
                <w:rFonts w:hint="eastAsia" w:ascii="Calibri" w:hAnsi="Calibri" w:eastAsia="宋体" w:cs="Times New Roman"/>
                <w:bCs/>
                <w:sz w:val="24"/>
                <w:szCs w:val="24"/>
              </w:rPr>
              <w:t>抛光工序产生的粉尘由通过移动式滤筒吸尘器处理后无组织排放</w:t>
            </w:r>
          </w:p>
          <w:p w14:paraId="7D31AD77">
            <w:pPr>
              <w:keepNext w:val="0"/>
              <w:keepLines w:val="0"/>
              <w:suppressLineNumbers w:val="0"/>
              <w:spacing w:before="0" w:beforeAutospacing="0" w:after="0" w:afterAutospacing="0" w:line="360" w:lineRule="auto"/>
              <w:ind w:left="0" w:right="0" w:firstLine="480" w:firstLineChars="200"/>
              <w:rPr>
                <w:rFonts w:hint="eastAsia"/>
                <w:sz w:val="24"/>
                <w:szCs w:val="24"/>
              </w:rPr>
            </w:pPr>
            <w:r>
              <w:rPr>
                <w:rFonts w:hint="eastAsia"/>
                <w:sz w:val="24"/>
                <w:szCs w:val="24"/>
              </w:rPr>
              <w:t>为尽量减少无组织废气的产生量，减缓无组织废气排放对区域大气环境质量造成的不利影响，本项目</w:t>
            </w:r>
            <w:r>
              <w:rPr>
                <w:rFonts w:hint="eastAsia"/>
                <w:sz w:val="24"/>
                <w:szCs w:val="24"/>
                <w:lang w:eastAsia="zh-CN"/>
              </w:rPr>
              <w:t>已经</w:t>
            </w:r>
            <w:r>
              <w:rPr>
                <w:rFonts w:hint="eastAsia"/>
                <w:sz w:val="24"/>
                <w:szCs w:val="24"/>
              </w:rPr>
              <w:t>采取了</w:t>
            </w:r>
            <w:r>
              <w:rPr>
                <w:rFonts w:hint="eastAsia"/>
                <w:sz w:val="24"/>
                <w:szCs w:val="24"/>
                <w:lang w:eastAsia="zh-CN"/>
              </w:rPr>
              <w:t>以下</w:t>
            </w:r>
            <w:r>
              <w:rPr>
                <w:rFonts w:hint="eastAsia"/>
                <w:sz w:val="24"/>
                <w:szCs w:val="24"/>
              </w:rPr>
              <w:t>防治措施：</w:t>
            </w:r>
          </w:p>
          <w:p w14:paraId="0A73BA7C">
            <w:pPr>
              <w:keepNext w:val="0"/>
              <w:keepLines w:val="0"/>
              <w:suppressLineNumbers w:val="0"/>
              <w:spacing w:before="0" w:beforeAutospacing="0" w:after="0" w:afterAutospacing="0" w:line="360" w:lineRule="auto"/>
              <w:ind w:left="0" w:right="0" w:firstLine="480" w:firstLineChars="200"/>
              <w:rPr>
                <w:rFonts w:hint="eastAsia"/>
                <w:sz w:val="24"/>
                <w:szCs w:val="24"/>
                <w:lang w:eastAsia="zh-CN"/>
              </w:rPr>
            </w:pPr>
            <w:r>
              <w:rPr>
                <w:rFonts w:hint="eastAsia"/>
                <w:sz w:val="24"/>
                <w:szCs w:val="24"/>
              </w:rPr>
              <w:t>使用先进设备，提高设备密封性，所有机泵、管道、阀门等连接部位、运转部分都连接牢固，尽可能做到严密、不渗、不漏、不跑气，最大限度削减无组织废气的挥发</w:t>
            </w:r>
            <w:r>
              <w:rPr>
                <w:rFonts w:hint="eastAsia"/>
                <w:sz w:val="24"/>
                <w:szCs w:val="24"/>
                <w:lang w:eastAsia="zh-CN"/>
              </w:rPr>
              <w:t>；</w:t>
            </w:r>
          </w:p>
          <w:p w14:paraId="599239C6">
            <w:pPr>
              <w:keepNext w:val="0"/>
              <w:keepLines w:val="0"/>
              <w:suppressLineNumbers w:val="0"/>
              <w:spacing w:before="0" w:beforeAutospacing="0" w:after="0" w:afterAutospacing="0" w:line="360" w:lineRule="auto"/>
              <w:ind w:left="0" w:right="0" w:firstLine="480"/>
              <w:rPr>
                <w:rFonts w:hint="eastAsia"/>
                <w:sz w:val="24"/>
                <w:szCs w:val="24"/>
              </w:rPr>
            </w:pPr>
            <w:r>
              <w:rPr>
                <w:rFonts w:hint="eastAsia"/>
                <w:sz w:val="24"/>
                <w:szCs w:val="24"/>
              </w:rPr>
              <w:t>本次验收项目废气排放情况详见下表。</w:t>
            </w:r>
          </w:p>
          <w:p w14:paraId="357A8F35">
            <w:pPr>
              <w:pStyle w:val="10"/>
              <w:spacing w:line="360" w:lineRule="auto"/>
              <w:ind w:firstLine="0" w:firstLineChars="0"/>
              <w:jc w:val="center"/>
              <w:rPr>
                <w:rFonts w:ascii="Times New Roman" w:hAnsi="Times New Roman"/>
                <w:b/>
                <w:bCs/>
                <w:sz w:val="24"/>
                <w:szCs w:val="24"/>
              </w:rPr>
            </w:pPr>
            <w:r>
              <w:rPr>
                <w:rFonts w:ascii="Times New Roman" w:hAnsi="Times New Roman"/>
                <w:b/>
                <w:bCs/>
                <w:sz w:val="24"/>
                <w:szCs w:val="24"/>
              </w:rPr>
              <w:t>表</w:t>
            </w:r>
            <w:r>
              <w:rPr>
                <w:rFonts w:hint="eastAsia" w:ascii="Times New Roman" w:hAnsi="Times New Roman"/>
                <w:b/>
                <w:bCs/>
                <w:sz w:val="24"/>
                <w:szCs w:val="24"/>
                <w:lang w:val="en-US" w:eastAsia="zh-CN"/>
              </w:rPr>
              <w:t>3-1</w:t>
            </w:r>
            <w:r>
              <w:rPr>
                <w:rFonts w:ascii="Times New Roman" w:hAnsi="Times New Roman"/>
                <w:b/>
                <w:bCs/>
                <w:sz w:val="24"/>
                <w:szCs w:val="24"/>
              </w:rPr>
              <w:t xml:space="preserve"> 本次验收项目</w:t>
            </w:r>
            <w:r>
              <w:rPr>
                <w:rFonts w:hint="eastAsia" w:ascii="Times New Roman" w:hAnsi="Times New Roman"/>
                <w:b/>
                <w:bCs/>
                <w:sz w:val="24"/>
                <w:szCs w:val="24"/>
              </w:rPr>
              <w:t>废气</w:t>
            </w:r>
            <w:r>
              <w:rPr>
                <w:rFonts w:ascii="Times New Roman" w:hAnsi="Times New Roman"/>
                <w:b/>
                <w:bCs/>
                <w:sz w:val="24"/>
                <w:szCs w:val="24"/>
              </w:rPr>
              <w:t>排放一览表</w:t>
            </w:r>
          </w:p>
          <w:tbl>
            <w:tblPr>
              <w:tblStyle w:val="19"/>
              <w:tblW w:w="487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3773"/>
              <w:gridCol w:w="3236"/>
            </w:tblGrid>
            <w:tr w14:paraId="7401A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1" w:hRule="atLeast"/>
              </w:trPr>
              <w:tc>
                <w:tcPr>
                  <w:tcW w:w="1470" w:type="dxa"/>
                  <w:vMerge w:val="restart"/>
                  <w:noWrap w:val="0"/>
                  <w:vAlign w:val="center"/>
                </w:tcPr>
                <w:p w14:paraId="4D90727C">
                  <w:pPr>
                    <w:pStyle w:val="24"/>
                    <w:bidi w:val="0"/>
                    <w:rPr>
                      <w:rFonts w:hint="default"/>
                    </w:rPr>
                  </w:pPr>
                  <w:r>
                    <w:rPr>
                      <w:rFonts w:hint="default"/>
                    </w:rPr>
                    <w:t>项目</w:t>
                  </w:r>
                </w:p>
              </w:tc>
              <w:tc>
                <w:tcPr>
                  <w:tcW w:w="7009" w:type="dxa"/>
                  <w:gridSpan w:val="2"/>
                  <w:noWrap w:val="0"/>
                  <w:vAlign w:val="center"/>
                </w:tcPr>
                <w:p w14:paraId="71051B9B">
                  <w:pPr>
                    <w:pStyle w:val="24"/>
                    <w:bidi w:val="0"/>
                    <w:rPr>
                      <w:rFonts w:hint="default"/>
                    </w:rPr>
                  </w:pPr>
                  <w:r>
                    <w:rPr>
                      <w:rFonts w:hint="default"/>
                    </w:rPr>
                    <w:t>废气种类</w:t>
                  </w:r>
                </w:p>
              </w:tc>
            </w:tr>
            <w:tr w14:paraId="14B2F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1470" w:type="dxa"/>
                  <w:vMerge w:val="continue"/>
                  <w:noWrap w:val="0"/>
                  <w:vAlign w:val="center"/>
                </w:tcPr>
                <w:p w14:paraId="57AC093F">
                  <w:pPr>
                    <w:pStyle w:val="24"/>
                    <w:bidi w:val="0"/>
                    <w:rPr>
                      <w:rFonts w:hint="default"/>
                    </w:rPr>
                  </w:pPr>
                </w:p>
              </w:tc>
              <w:tc>
                <w:tcPr>
                  <w:tcW w:w="3773" w:type="dxa"/>
                  <w:noWrap w:val="0"/>
                  <w:vAlign w:val="center"/>
                </w:tcPr>
                <w:p w14:paraId="4F3538E1">
                  <w:pPr>
                    <w:pStyle w:val="24"/>
                    <w:bidi w:val="0"/>
                    <w:rPr>
                      <w:rFonts w:hint="default"/>
                    </w:rPr>
                  </w:pPr>
                  <w:r>
                    <w:rPr>
                      <w:rFonts w:hint="eastAsia"/>
                      <w:lang w:val="en-US" w:eastAsia="zh-CN"/>
                    </w:rPr>
                    <w:t>打磨</w:t>
                  </w:r>
                  <w:r>
                    <w:rPr>
                      <w:rFonts w:hint="default"/>
                    </w:rPr>
                    <w:t>废气</w:t>
                  </w:r>
                </w:p>
              </w:tc>
              <w:tc>
                <w:tcPr>
                  <w:tcW w:w="3236" w:type="dxa"/>
                  <w:noWrap w:val="0"/>
                  <w:vAlign w:val="center"/>
                </w:tcPr>
                <w:p w14:paraId="362D9B3F">
                  <w:pPr>
                    <w:pStyle w:val="24"/>
                    <w:bidi w:val="0"/>
                    <w:rPr>
                      <w:rFonts w:hint="default"/>
                    </w:rPr>
                  </w:pPr>
                  <w:r>
                    <w:rPr>
                      <w:rFonts w:hint="eastAsia"/>
                    </w:rPr>
                    <w:t>抛光废气</w:t>
                  </w:r>
                </w:p>
              </w:tc>
            </w:tr>
            <w:tr w14:paraId="3C768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1470" w:type="dxa"/>
                  <w:noWrap w:val="0"/>
                  <w:vAlign w:val="center"/>
                </w:tcPr>
                <w:p w14:paraId="515F16F2">
                  <w:pPr>
                    <w:pStyle w:val="24"/>
                    <w:bidi w:val="0"/>
                    <w:rPr>
                      <w:rFonts w:hint="default"/>
                    </w:rPr>
                  </w:pPr>
                  <w:r>
                    <w:rPr>
                      <w:rFonts w:hint="default"/>
                    </w:rPr>
                    <w:t>来源</w:t>
                  </w:r>
                </w:p>
              </w:tc>
              <w:tc>
                <w:tcPr>
                  <w:tcW w:w="3773" w:type="dxa"/>
                  <w:noWrap w:val="0"/>
                  <w:vAlign w:val="center"/>
                </w:tcPr>
                <w:p w14:paraId="544DD4C1">
                  <w:pPr>
                    <w:pStyle w:val="24"/>
                    <w:bidi w:val="0"/>
                    <w:rPr>
                      <w:rFonts w:hint="default"/>
                    </w:rPr>
                  </w:pPr>
                  <w:r>
                    <w:rPr>
                      <w:rFonts w:hint="eastAsia"/>
                      <w:lang w:eastAsia="zh-CN"/>
                    </w:rPr>
                    <w:t>自动车床、</w:t>
                  </w:r>
                  <w:r>
                    <w:rPr>
                      <w:rFonts w:hint="eastAsia"/>
                    </w:rPr>
                    <w:t>成型磨、梯面磨及精珩磨</w:t>
                  </w:r>
                </w:p>
              </w:tc>
              <w:tc>
                <w:tcPr>
                  <w:tcW w:w="3236" w:type="dxa"/>
                  <w:noWrap w:val="0"/>
                  <w:vAlign w:val="center"/>
                </w:tcPr>
                <w:p w14:paraId="07CBADB0">
                  <w:pPr>
                    <w:pStyle w:val="24"/>
                    <w:bidi w:val="0"/>
                    <w:rPr>
                      <w:rFonts w:hint="default"/>
                      <w:lang w:val="en-US" w:eastAsia="zh-CN"/>
                    </w:rPr>
                  </w:pPr>
                  <w:r>
                    <w:rPr>
                      <w:rFonts w:hint="eastAsia"/>
                      <w:lang w:val="en-US" w:eastAsia="zh-CN"/>
                    </w:rPr>
                    <w:t>外圆抛光</w:t>
                  </w:r>
                </w:p>
              </w:tc>
            </w:tr>
            <w:tr w14:paraId="345F2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3" w:hRule="atLeast"/>
              </w:trPr>
              <w:tc>
                <w:tcPr>
                  <w:tcW w:w="1470" w:type="dxa"/>
                  <w:noWrap w:val="0"/>
                  <w:vAlign w:val="center"/>
                </w:tcPr>
                <w:p w14:paraId="155744A5">
                  <w:pPr>
                    <w:pStyle w:val="24"/>
                    <w:bidi w:val="0"/>
                    <w:rPr>
                      <w:rFonts w:hint="default"/>
                    </w:rPr>
                  </w:pPr>
                  <w:r>
                    <w:rPr>
                      <w:rFonts w:hint="default"/>
                    </w:rPr>
                    <w:t>污染物种类</w:t>
                  </w:r>
                </w:p>
              </w:tc>
              <w:tc>
                <w:tcPr>
                  <w:tcW w:w="3773" w:type="dxa"/>
                  <w:noWrap w:val="0"/>
                  <w:vAlign w:val="center"/>
                </w:tcPr>
                <w:p w14:paraId="233659E6">
                  <w:pPr>
                    <w:pStyle w:val="24"/>
                    <w:bidi w:val="0"/>
                    <w:rPr>
                      <w:rFonts w:hint="default"/>
                      <w:lang w:val="en-US" w:eastAsia="zh-CN"/>
                    </w:rPr>
                  </w:pPr>
                  <w:r>
                    <w:rPr>
                      <w:rFonts w:hint="eastAsia"/>
                      <w:lang w:val="en-US" w:eastAsia="zh-CN"/>
                    </w:rPr>
                    <w:t>非甲烷总烃</w:t>
                  </w:r>
                </w:p>
              </w:tc>
              <w:tc>
                <w:tcPr>
                  <w:tcW w:w="3236" w:type="dxa"/>
                  <w:noWrap w:val="0"/>
                  <w:vAlign w:val="center"/>
                </w:tcPr>
                <w:p w14:paraId="3651DA21">
                  <w:pPr>
                    <w:pStyle w:val="24"/>
                    <w:bidi w:val="0"/>
                    <w:rPr>
                      <w:rFonts w:hint="eastAsia"/>
                      <w:lang w:val="en-US" w:eastAsia="zh-CN"/>
                    </w:rPr>
                  </w:pPr>
                  <w:r>
                    <w:rPr>
                      <w:rFonts w:hint="eastAsia"/>
                      <w:lang w:val="en-US" w:eastAsia="zh-CN"/>
                    </w:rPr>
                    <w:t>颗粒物</w:t>
                  </w:r>
                </w:p>
              </w:tc>
            </w:tr>
            <w:tr w14:paraId="13C24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1470" w:type="dxa"/>
                  <w:noWrap w:val="0"/>
                  <w:vAlign w:val="center"/>
                </w:tcPr>
                <w:p w14:paraId="3430AC1D">
                  <w:pPr>
                    <w:pStyle w:val="24"/>
                    <w:bidi w:val="0"/>
                    <w:rPr>
                      <w:rFonts w:hint="default"/>
                    </w:rPr>
                  </w:pPr>
                  <w:r>
                    <w:rPr>
                      <w:rFonts w:hint="default"/>
                    </w:rPr>
                    <w:t>排放方式</w:t>
                  </w:r>
                </w:p>
              </w:tc>
              <w:tc>
                <w:tcPr>
                  <w:tcW w:w="3773" w:type="dxa"/>
                  <w:noWrap w:val="0"/>
                  <w:vAlign w:val="center"/>
                </w:tcPr>
                <w:p w14:paraId="7A1305D8">
                  <w:pPr>
                    <w:pStyle w:val="24"/>
                    <w:bidi w:val="0"/>
                    <w:rPr>
                      <w:rFonts w:hint="default"/>
                    </w:rPr>
                  </w:pPr>
                  <w:r>
                    <w:rPr>
                      <w:rFonts w:hint="default"/>
                    </w:rPr>
                    <w:t>连续排放</w:t>
                  </w:r>
                </w:p>
              </w:tc>
              <w:tc>
                <w:tcPr>
                  <w:tcW w:w="3236" w:type="dxa"/>
                  <w:noWrap w:val="0"/>
                  <w:vAlign w:val="center"/>
                </w:tcPr>
                <w:p w14:paraId="47852BEA">
                  <w:pPr>
                    <w:pStyle w:val="24"/>
                    <w:bidi w:val="0"/>
                    <w:rPr>
                      <w:rFonts w:hint="default"/>
                    </w:rPr>
                  </w:pPr>
                  <w:r>
                    <w:rPr>
                      <w:rFonts w:hint="default"/>
                    </w:rPr>
                    <w:t>连续排放</w:t>
                  </w:r>
                </w:p>
              </w:tc>
            </w:tr>
            <w:tr w14:paraId="6C941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1470" w:type="dxa"/>
                  <w:noWrap w:val="0"/>
                  <w:vAlign w:val="center"/>
                </w:tcPr>
                <w:p w14:paraId="0E3FE608">
                  <w:pPr>
                    <w:pStyle w:val="24"/>
                    <w:bidi w:val="0"/>
                    <w:rPr>
                      <w:rFonts w:hint="default"/>
                    </w:rPr>
                  </w:pPr>
                  <w:r>
                    <w:rPr>
                      <w:rFonts w:hint="default"/>
                    </w:rPr>
                    <w:t>治理设施</w:t>
                  </w:r>
                </w:p>
              </w:tc>
              <w:tc>
                <w:tcPr>
                  <w:tcW w:w="3773" w:type="dxa"/>
                  <w:noWrap w:val="0"/>
                  <w:vAlign w:val="center"/>
                </w:tcPr>
                <w:p w14:paraId="55CCB208">
                  <w:pPr>
                    <w:pStyle w:val="24"/>
                    <w:bidi w:val="0"/>
                    <w:rPr>
                      <w:rFonts w:hint="default"/>
                    </w:rPr>
                  </w:pPr>
                  <w:r>
                    <w:rPr>
                      <w:rFonts w:hint="eastAsia"/>
                    </w:rPr>
                    <w:t>静电</w:t>
                  </w:r>
                  <w:r>
                    <w:rPr>
                      <w:rFonts w:hint="eastAsia"/>
                      <w:lang w:eastAsia="zh-CN"/>
                    </w:rPr>
                    <w:t>油雾净化器</w:t>
                  </w:r>
                </w:p>
              </w:tc>
              <w:tc>
                <w:tcPr>
                  <w:tcW w:w="3236" w:type="dxa"/>
                  <w:noWrap w:val="0"/>
                  <w:vAlign w:val="center"/>
                </w:tcPr>
                <w:p w14:paraId="04BFE05D">
                  <w:pPr>
                    <w:pStyle w:val="24"/>
                    <w:bidi w:val="0"/>
                    <w:rPr>
                      <w:rFonts w:hint="default"/>
                    </w:rPr>
                  </w:pPr>
                  <w:r>
                    <w:rPr>
                      <w:rFonts w:hint="eastAsia"/>
                    </w:rPr>
                    <w:t>移动式滤筒吸尘器</w:t>
                  </w:r>
                </w:p>
              </w:tc>
            </w:tr>
            <w:tr w14:paraId="36EC3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1470" w:type="dxa"/>
                  <w:noWrap w:val="0"/>
                  <w:vAlign w:val="center"/>
                </w:tcPr>
                <w:p w14:paraId="664828BD">
                  <w:pPr>
                    <w:pStyle w:val="24"/>
                    <w:bidi w:val="0"/>
                    <w:rPr>
                      <w:rFonts w:hint="default"/>
                    </w:rPr>
                  </w:pPr>
                  <w:r>
                    <w:rPr>
                      <w:rFonts w:hint="default"/>
                    </w:rPr>
                    <w:t>工艺</w:t>
                  </w:r>
                </w:p>
              </w:tc>
              <w:tc>
                <w:tcPr>
                  <w:tcW w:w="3773" w:type="dxa"/>
                  <w:noWrap w:val="0"/>
                  <w:vAlign w:val="center"/>
                </w:tcPr>
                <w:p w14:paraId="71C9A7D3">
                  <w:pPr>
                    <w:pStyle w:val="24"/>
                    <w:bidi w:val="0"/>
                    <w:rPr>
                      <w:rFonts w:hint="default"/>
                      <w:lang w:val="en-US" w:eastAsia="zh-CN"/>
                    </w:rPr>
                  </w:pPr>
                  <w:r>
                    <w:rPr>
                      <w:rFonts w:hint="eastAsia"/>
                      <w:lang w:val="en-US" w:eastAsia="zh-CN"/>
                    </w:rPr>
                    <w:t>静电吸附过滤</w:t>
                  </w:r>
                </w:p>
              </w:tc>
              <w:tc>
                <w:tcPr>
                  <w:tcW w:w="3236" w:type="dxa"/>
                  <w:noWrap w:val="0"/>
                  <w:vAlign w:val="center"/>
                </w:tcPr>
                <w:p w14:paraId="5E2DB50C">
                  <w:pPr>
                    <w:pStyle w:val="24"/>
                    <w:bidi w:val="0"/>
                    <w:rPr>
                      <w:rFonts w:hint="default"/>
                      <w:lang w:val="en-US" w:eastAsia="zh-CN"/>
                    </w:rPr>
                  </w:pPr>
                  <w:r>
                    <w:rPr>
                      <w:rFonts w:hint="eastAsia"/>
                      <w:lang w:val="en-US" w:eastAsia="zh-CN"/>
                    </w:rPr>
                    <w:t>滤筒除尘</w:t>
                  </w:r>
                </w:p>
              </w:tc>
            </w:tr>
            <w:tr w14:paraId="6A99F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trPr>
              <w:tc>
                <w:tcPr>
                  <w:tcW w:w="1470" w:type="dxa"/>
                  <w:noWrap w:val="0"/>
                  <w:vAlign w:val="center"/>
                </w:tcPr>
                <w:p w14:paraId="5A197E5F">
                  <w:pPr>
                    <w:pStyle w:val="24"/>
                    <w:bidi w:val="0"/>
                    <w:rPr>
                      <w:rFonts w:hint="default"/>
                    </w:rPr>
                  </w:pPr>
                  <w:r>
                    <w:rPr>
                      <w:rFonts w:hint="default"/>
                    </w:rPr>
                    <w:t>排放去向</w:t>
                  </w:r>
                </w:p>
              </w:tc>
              <w:tc>
                <w:tcPr>
                  <w:tcW w:w="3773" w:type="dxa"/>
                  <w:noWrap w:val="0"/>
                  <w:vAlign w:val="center"/>
                </w:tcPr>
                <w:p w14:paraId="7367F577">
                  <w:pPr>
                    <w:pStyle w:val="24"/>
                    <w:bidi w:val="0"/>
                    <w:rPr>
                      <w:rFonts w:hint="default"/>
                    </w:rPr>
                  </w:pPr>
                  <w:r>
                    <w:rPr>
                      <w:rFonts w:hint="eastAsia"/>
                      <w:lang w:val="en-US" w:eastAsia="zh-CN"/>
                    </w:rPr>
                    <w:t>无组织</w:t>
                  </w:r>
                  <w:r>
                    <w:rPr>
                      <w:rFonts w:hint="default"/>
                    </w:rPr>
                    <w:t>排入外环境</w:t>
                  </w:r>
                </w:p>
              </w:tc>
              <w:tc>
                <w:tcPr>
                  <w:tcW w:w="3236" w:type="dxa"/>
                  <w:noWrap w:val="0"/>
                  <w:vAlign w:val="center"/>
                </w:tcPr>
                <w:p w14:paraId="7A3020CC">
                  <w:pPr>
                    <w:pStyle w:val="24"/>
                    <w:bidi w:val="0"/>
                    <w:rPr>
                      <w:rFonts w:hint="default"/>
                    </w:rPr>
                  </w:pPr>
                  <w:r>
                    <w:rPr>
                      <w:rFonts w:hint="eastAsia"/>
                      <w:lang w:val="en-US" w:eastAsia="zh-CN"/>
                    </w:rPr>
                    <w:t>无组织</w:t>
                  </w:r>
                  <w:r>
                    <w:rPr>
                      <w:rFonts w:hint="default"/>
                    </w:rPr>
                    <w:t>排入外环境</w:t>
                  </w:r>
                </w:p>
              </w:tc>
            </w:tr>
          </w:tbl>
          <w:p w14:paraId="250B5B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center"/>
              <w:textAlignment w:val="auto"/>
              <w:rPr>
                <w:rFonts w:hint="default" w:ascii="Calibri" w:hAnsi="Calibri" w:eastAsia="宋体" w:cs="Times New Roman"/>
                <w:b/>
                <w:bCs/>
                <w:sz w:val="24"/>
                <w:szCs w:val="24"/>
              </w:rPr>
            </w:pPr>
            <w:r>
              <w:rPr>
                <w:rFonts w:hint="eastAsia" w:ascii="Calibri" w:hAnsi="Calibri" w:cs="Times New Roman" w:eastAsiaTheme="minorEastAsia"/>
                <w:bCs/>
                <w:sz w:val="24"/>
                <w:szCs w:val="24"/>
                <w:lang w:eastAsia="zh-CN"/>
              </w:rPr>
              <w:object>
                <v:shape id="_x0000_i1027" o:spt="75" type="#_x0000_t75" style="height:133.3pt;width:330pt;" o:ole="t" filled="f" o:preferrelative="t" stroked="f" coordsize="21600,21600">
                  <v:path/>
                  <v:fill on="f" focussize="0,0"/>
                  <v:stroke on="f"/>
                  <v:imagedata r:id="rId13" cropbottom="23637f" o:title=""/>
                  <o:lock v:ext="edit" aspectratio="f"/>
                  <w10:wrap type="none"/>
                  <w10:anchorlock/>
                </v:shape>
                <o:OLEObject Type="Embed" ProgID="Visio.Drawing.15" ShapeID="_x0000_i1027" DrawAspect="Content" ObjectID="_1468075727" r:id="rId12">
                  <o:LockedField>false</o:LockedField>
                </o:OLEObject>
              </w:object>
            </w:r>
          </w:p>
          <w:p w14:paraId="0B6D6C4A">
            <w:pPr>
              <w:keepNext w:val="0"/>
              <w:keepLines w:val="0"/>
              <w:suppressLineNumbers w:val="0"/>
              <w:spacing w:before="0" w:beforeAutospacing="0" w:after="0" w:afterAutospacing="0" w:line="360" w:lineRule="auto"/>
              <w:ind w:left="0" w:right="0"/>
              <w:jc w:val="center"/>
              <w:rPr>
                <w:rFonts w:hint="eastAsia" w:ascii="Calibri" w:hAnsi="Calibri" w:eastAsia="宋体" w:cs="Times New Roman"/>
                <w:b/>
                <w:bCs/>
                <w:sz w:val="24"/>
                <w:szCs w:val="24"/>
              </w:rPr>
            </w:pPr>
            <w:r>
              <w:rPr>
                <w:rFonts w:hint="eastAsia" w:ascii="Calibri" w:hAnsi="Calibri" w:eastAsia="宋体" w:cs="Times New Roman"/>
                <w:b/>
                <w:bCs/>
                <w:sz w:val="24"/>
                <w:szCs w:val="24"/>
              </w:rPr>
              <w:t>图3-1 废气治理工艺流程图</w:t>
            </w:r>
          </w:p>
          <w:p w14:paraId="471937BF">
            <w:pPr>
              <w:pStyle w:val="4"/>
              <w:suppressLineNumbers w:val="0"/>
              <w:bidi w:val="0"/>
              <w:spacing w:before="0" w:beforeAutospacing="0" w:after="0" w:afterAutospacing="0"/>
              <w:ind w:left="0" w:right="0"/>
              <w:rPr>
                <w:rFonts w:hint="default"/>
              </w:rPr>
            </w:pPr>
            <w:r>
              <w:rPr>
                <w:rFonts w:hint="eastAsia"/>
              </w:rPr>
              <w:t>3.1.2废水</w:t>
            </w:r>
          </w:p>
          <w:p w14:paraId="169AF3DF">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Times New Roman" w:hAnsi="Times New Roman" w:eastAsia="宋体" w:cs="Times New Roman"/>
                <w:kern w:val="2"/>
                <w:sz w:val="24"/>
                <w:szCs w:val="20"/>
                <w:lang w:val="en-US" w:eastAsia="zh-CN" w:bidi="ar"/>
              </w:rPr>
            </w:pPr>
            <w:r>
              <w:rPr>
                <w:rFonts w:hint="eastAsia" w:ascii="Times New Roman" w:hAnsi="Times New Roman" w:eastAsia="宋体" w:cs="Times New Roman"/>
                <w:kern w:val="2"/>
                <w:sz w:val="24"/>
                <w:szCs w:val="20"/>
                <w:lang w:val="en-US" w:eastAsia="zh-CN" w:bidi="ar"/>
              </w:rPr>
              <w:t>项目废水主要为</w:t>
            </w:r>
            <w:r>
              <w:rPr>
                <w:rFonts w:hint="default"/>
                <w:iCs/>
                <w:snapToGrid w:val="0"/>
                <w:kern w:val="0"/>
                <w:sz w:val="24"/>
              </w:rPr>
              <w:t>生活污水、食堂餐饮废水、车间地面清洁废水和超声波清洗废水</w:t>
            </w:r>
            <w:r>
              <w:rPr>
                <w:rFonts w:hint="eastAsia" w:ascii="Times New Roman" w:hAnsi="Times New Roman" w:eastAsia="宋体" w:cs="Times New Roman"/>
                <w:kern w:val="2"/>
                <w:sz w:val="24"/>
                <w:szCs w:val="20"/>
                <w:lang w:val="en-US" w:eastAsia="zh-CN" w:bidi="ar"/>
              </w:rPr>
              <w:t>；</w:t>
            </w:r>
            <w:r>
              <w:rPr>
                <w:rFonts w:hint="default"/>
              </w:rPr>
              <w:t>生活污水进化粪池预处理；食堂餐饮废水</w:t>
            </w:r>
            <w:r>
              <w:rPr>
                <w:rFonts w:hint="eastAsia"/>
                <w:lang w:eastAsia="zh-CN"/>
              </w:rPr>
              <w:t>经过隔油沉淀池预处理；预处理后的生活污水和餐饮废水同</w:t>
            </w:r>
            <w:r>
              <w:rPr>
                <w:rFonts w:hint="default"/>
              </w:rPr>
              <w:t>车间地面清洁废水和超声波清洗废水进厂区综合污水处理站处理</w:t>
            </w:r>
            <w:r>
              <w:rPr>
                <w:rFonts w:hint="eastAsia"/>
                <w:lang w:eastAsia="zh-CN"/>
              </w:rPr>
              <w:t>，</w:t>
            </w:r>
            <w:r>
              <w:rPr>
                <w:rFonts w:hint="default"/>
              </w:rPr>
              <w:t>项目废水经处理达城东污水处理厂接管标准后接入市政污水管网，排入城东污水处理厂</w:t>
            </w:r>
            <w:r>
              <w:rPr>
                <w:rFonts w:hint="eastAsia" w:ascii="Times New Roman" w:hAnsi="Times New Roman" w:eastAsia="宋体" w:cs="Times New Roman"/>
                <w:kern w:val="2"/>
                <w:sz w:val="24"/>
                <w:szCs w:val="20"/>
                <w:lang w:val="en-US" w:eastAsia="zh-CN" w:bidi="ar"/>
              </w:rPr>
              <w:t>。本次验收项目废水排放情况详见下表。</w:t>
            </w:r>
          </w:p>
          <w:p w14:paraId="597C29A2">
            <w:pPr>
              <w:pStyle w:val="25"/>
              <w:keepNext w:val="0"/>
              <w:keepLines w:val="0"/>
              <w:suppressLineNumbers w:val="0"/>
              <w:bidi w:val="0"/>
              <w:spacing w:before="0" w:beforeAutospacing="0" w:after="0" w:afterAutospacing="0"/>
              <w:ind w:left="0" w:right="0"/>
              <w:rPr>
                <w:rFonts w:hint="eastAsia"/>
              </w:rPr>
            </w:pPr>
            <w:r>
              <w:rPr>
                <w:rFonts w:hint="eastAsia"/>
              </w:rPr>
              <w:t>表</w:t>
            </w:r>
            <w:r>
              <w:rPr>
                <w:rFonts w:hint="eastAsia"/>
                <w:lang w:val="en-US" w:eastAsia="zh-CN"/>
              </w:rPr>
              <w:t>3-2</w:t>
            </w:r>
            <w:r>
              <w:rPr>
                <w:rFonts w:hint="eastAsia"/>
              </w:rPr>
              <w:t xml:space="preserve"> 本次验收项目废水排放一览表</w:t>
            </w:r>
          </w:p>
          <w:tbl>
            <w:tblPr>
              <w:tblStyle w:val="1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0"/>
              <w:gridCol w:w="1824"/>
              <w:gridCol w:w="1773"/>
              <w:gridCol w:w="687"/>
              <w:gridCol w:w="1642"/>
              <w:gridCol w:w="1312"/>
            </w:tblGrid>
            <w:tr w14:paraId="341F9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460" w:type="dxa"/>
                  <w:vMerge w:val="restart"/>
                  <w:noWrap w:val="0"/>
                  <w:vAlign w:val="center"/>
                </w:tcPr>
                <w:p w14:paraId="22D90537">
                  <w:pPr>
                    <w:pStyle w:val="24"/>
                    <w:keepNext w:val="0"/>
                    <w:keepLines w:val="0"/>
                    <w:suppressLineNumbers w:val="0"/>
                    <w:bidi w:val="0"/>
                    <w:spacing w:before="0" w:beforeAutospacing="0" w:after="0" w:afterAutospacing="0"/>
                    <w:ind w:left="0" w:right="0"/>
                    <w:rPr>
                      <w:rFonts w:hint="default"/>
                    </w:rPr>
                  </w:pPr>
                  <w:r>
                    <w:rPr>
                      <w:rFonts w:hint="default"/>
                    </w:rPr>
                    <w:t>项目</w:t>
                  </w:r>
                </w:p>
              </w:tc>
              <w:tc>
                <w:tcPr>
                  <w:tcW w:w="7238" w:type="dxa"/>
                  <w:gridSpan w:val="5"/>
                  <w:noWrap w:val="0"/>
                  <w:vAlign w:val="center"/>
                </w:tcPr>
                <w:p w14:paraId="540A13DA">
                  <w:pPr>
                    <w:pStyle w:val="24"/>
                    <w:keepNext w:val="0"/>
                    <w:keepLines w:val="0"/>
                    <w:suppressLineNumbers w:val="0"/>
                    <w:bidi w:val="0"/>
                    <w:spacing w:before="0" w:beforeAutospacing="0" w:after="0" w:afterAutospacing="0"/>
                    <w:ind w:left="0" w:right="0"/>
                    <w:rPr>
                      <w:rFonts w:hint="default"/>
                    </w:rPr>
                  </w:pPr>
                  <w:r>
                    <w:rPr>
                      <w:rFonts w:hint="default"/>
                    </w:rPr>
                    <w:t>废水类别</w:t>
                  </w:r>
                </w:p>
              </w:tc>
            </w:tr>
            <w:tr w14:paraId="6E1FE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1460" w:type="dxa"/>
                  <w:vMerge w:val="continue"/>
                  <w:noWrap w:val="0"/>
                  <w:vAlign w:val="center"/>
                </w:tcPr>
                <w:p w14:paraId="41571394">
                  <w:pPr>
                    <w:pStyle w:val="24"/>
                    <w:keepNext w:val="0"/>
                    <w:keepLines w:val="0"/>
                    <w:suppressLineNumbers w:val="0"/>
                    <w:bidi w:val="0"/>
                    <w:spacing w:before="0" w:beforeAutospacing="0" w:after="0" w:afterAutospacing="0"/>
                    <w:ind w:left="0" w:right="0"/>
                    <w:rPr>
                      <w:rFonts w:hint="default"/>
                    </w:rPr>
                  </w:pPr>
                </w:p>
              </w:tc>
              <w:tc>
                <w:tcPr>
                  <w:tcW w:w="1824" w:type="dxa"/>
                  <w:noWrap w:val="0"/>
                  <w:vAlign w:val="center"/>
                </w:tcPr>
                <w:p w14:paraId="0AAF9417">
                  <w:pPr>
                    <w:pStyle w:val="24"/>
                    <w:keepNext w:val="0"/>
                    <w:keepLines w:val="0"/>
                    <w:suppressLineNumbers w:val="0"/>
                    <w:bidi w:val="0"/>
                    <w:spacing w:before="0" w:beforeAutospacing="0" w:after="0" w:afterAutospacing="0"/>
                    <w:ind w:left="0" w:right="0"/>
                    <w:rPr>
                      <w:rFonts w:hint="default"/>
                    </w:rPr>
                  </w:pPr>
                  <w:r>
                    <w:rPr>
                      <w:iCs/>
                      <w:snapToGrid w:val="0"/>
                      <w:kern w:val="0"/>
                      <w:sz w:val="24"/>
                    </w:rPr>
                    <w:t>车间地面清洁废水</w:t>
                  </w:r>
                </w:p>
              </w:tc>
              <w:tc>
                <w:tcPr>
                  <w:tcW w:w="2460" w:type="dxa"/>
                  <w:gridSpan w:val="2"/>
                  <w:noWrap w:val="0"/>
                  <w:vAlign w:val="center"/>
                </w:tcPr>
                <w:p w14:paraId="3043E0DE">
                  <w:pPr>
                    <w:pStyle w:val="24"/>
                    <w:keepNext w:val="0"/>
                    <w:keepLines w:val="0"/>
                    <w:suppressLineNumbers w:val="0"/>
                    <w:bidi w:val="0"/>
                    <w:spacing w:before="0" w:beforeAutospacing="0" w:after="0" w:afterAutospacing="0"/>
                    <w:ind w:left="0" w:right="0"/>
                    <w:rPr>
                      <w:rFonts w:hint="eastAsia"/>
                      <w:lang w:val="en-US" w:eastAsia="zh-CN"/>
                    </w:rPr>
                  </w:pPr>
                  <w:r>
                    <w:rPr>
                      <w:iCs/>
                      <w:snapToGrid w:val="0"/>
                      <w:kern w:val="0"/>
                      <w:sz w:val="24"/>
                    </w:rPr>
                    <w:t>超声波清洗废水</w:t>
                  </w:r>
                </w:p>
              </w:tc>
              <w:tc>
                <w:tcPr>
                  <w:tcW w:w="1642" w:type="dxa"/>
                  <w:noWrap w:val="0"/>
                  <w:vAlign w:val="center"/>
                </w:tcPr>
                <w:p w14:paraId="76AB9CDC">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餐饮废水</w:t>
                  </w:r>
                </w:p>
              </w:tc>
              <w:tc>
                <w:tcPr>
                  <w:tcW w:w="1312" w:type="dxa"/>
                  <w:noWrap w:val="0"/>
                  <w:vAlign w:val="center"/>
                </w:tcPr>
                <w:p w14:paraId="061B212C">
                  <w:pPr>
                    <w:pStyle w:val="24"/>
                    <w:keepNext w:val="0"/>
                    <w:keepLines w:val="0"/>
                    <w:suppressLineNumbers w:val="0"/>
                    <w:bidi w:val="0"/>
                    <w:spacing w:before="0" w:beforeAutospacing="0" w:after="0" w:afterAutospacing="0"/>
                    <w:ind w:left="0" w:right="0"/>
                    <w:rPr>
                      <w:rFonts w:hint="eastAsia"/>
                      <w:lang w:eastAsia="zh-CN"/>
                    </w:rPr>
                  </w:pPr>
                  <w:r>
                    <w:rPr>
                      <w:rFonts w:hint="eastAsia"/>
                      <w:lang w:eastAsia="zh-CN"/>
                    </w:rPr>
                    <w:t>生活污水</w:t>
                  </w:r>
                </w:p>
              </w:tc>
            </w:tr>
            <w:tr w14:paraId="33CC8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1460" w:type="dxa"/>
                  <w:noWrap w:val="0"/>
                  <w:vAlign w:val="center"/>
                </w:tcPr>
                <w:p w14:paraId="01961B61">
                  <w:pPr>
                    <w:pStyle w:val="24"/>
                    <w:keepNext w:val="0"/>
                    <w:keepLines w:val="0"/>
                    <w:suppressLineNumbers w:val="0"/>
                    <w:bidi w:val="0"/>
                    <w:spacing w:before="0" w:beforeAutospacing="0" w:after="0" w:afterAutospacing="0"/>
                    <w:ind w:left="0" w:right="0"/>
                    <w:rPr>
                      <w:rFonts w:hint="default"/>
                    </w:rPr>
                  </w:pPr>
                  <w:r>
                    <w:rPr>
                      <w:rFonts w:hint="default"/>
                    </w:rPr>
                    <w:t>来源</w:t>
                  </w:r>
                </w:p>
              </w:tc>
              <w:tc>
                <w:tcPr>
                  <w:tcW w:w="1824" w:type="dxa"/>
                  <w:noWrap w:val="0"/>
                  <w:vAlign w:val="center"/>
                </w:tcPr>
                <w:p w14:paraId="2B1B46B0">
                  <w:pPr>
                    <w:pStyle w:val="24"/>
                    <w:keepNext w:val="0"/>
                    <w:keepLines w:val="0"/>
                    <w:suppressLineNumbers w:val="0"/>
                    <w:bidi w:val="0"/>
                    <w:spacing w:before="0" w:beforeAutospacing="0" w:after="0" w:afterAutospacing="0"/>
                    <w:ind w:left="0" w:right="0"/>
                    <w:rPr>
                      <w:rFonts w:hint="default"/>
                    </w:rPr>
                  </w:pPr>
                  <w:r>
                    <w:rPr>
                      <w:iCs/>
                      <w:snapToGrid w:val="0"/>
                      <w:kern w:val="0"/>
                      <w:sz w:val="24"/>
                    </w:rPr>
                    <w:t>地面清洁</w:t>
                  </w:r>
                </w:p>
              </w:tc>
              <w:tc>
                <w:tcPr>
                  <w:tcW w:w="2460" w:type="dxa"/>
                  <w:gridSpan w:val="2"/>
                  <w:noWrap w:val="0"/>
                  <w:vAlign w:val="center"/>
                </w:tcPr>
                <w:p w14:paraId="6E13AE5E">
                  <w:pPr>
                    <w:pStyle w:val="24"/>
                    <w:keepNext w:val="0"/>
                    <w:keepLines w:val="0"/>
                    <w:suppressLineNumbers w:val="0"/>
                    <w:bidi w:val="0"/>
                    <w:spacing w:before="0" w:beforeAutospacing="0" w:after="0" w:afterAutospacing="0"/>
                    <w:ind w:left="0" w:right="0"/>
                    <w:rPr>
                      <w:rFonts w:hint="eastAsia"/>
                      <w:lang w:val="en-US" w:eastAsia="zh-CN"/>
                    </w:rPr>
                  </w:pPr>
                  <w:r>
                    <w:rPr>
                      <w:iCs/>
                      <w:snapToGrid w:val="0"/>
                      <w:kern w:val="0"/>
                      <w:sz w:val="24"/>
                    </w:rPr>
                    <w:t>超声波清洗</w:t>
                  </w:r>
                </w:p>
              </w:tc>
              <w:tc>
                <w:tcPr>
                  <w:tcW w:w="1642" w:type="dxa"/>
                  <w:noWrap w:val="0"/>
                  <w:vAlign w:val="center"/>
                </w:tcPr>
                <w:p w14:paraId="4A1E6129">
                  <w:pPr>
                    <w:pStyle w:val="24"/>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食堂</w:t>
                  </w:r>
                </w:p>
              </w:tc>
              <w:tc>
                <w:tcPr>
                  <w:tcW w:w="1312" w:type="dxa"/>
                  <w:noWrap w:val="0"/>
                  <w:vAlign w:val="center"/>
                </w:tcPr>
                <w:p w14:paraId="46B846ED">
                  <w:pPr>
                    <w:pStyle w:val="24"/>
                    <w:keepNext w:val="0"/>
                    <w:keepLines w:val="0"/>
                    <w:suppressLineNumbers w:val="0"/>
                    <w:bidi w:val="0"/>
                    <w:spacing w:before="0" w:beforeAutospacing="0" w:after="0" w:afterAutospacing="0"/>
                    <w:ind w:left="0" w:right="0"/>
                    <w:rPr>
                      <w:rFonts w:hint="eastAsia"/>
                      <w:lang w:eastAsia="zh-CN"/>
                    </w:rPr>
                  </w:pPr>
                  <w:r>
                    <w:rPr>
                      <w:rFonts w:hint="eastAsia"/>
                      <w:lang w:eastAsia="zh-CN"/>
                    </w:rPr>
                    <w:t>职工生活</w:t>
                  </w:r>
                </w:p>
              </w:tc>
            </w:tr>
            <w:tr w14:paraId="01C9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1460" w:type="dxa"/>
                  <w:noWrap w:val="0"/>
                  <w:vAlign w:val="center"/>
                </w:tcPr>
                <w:p w14:paraId="6DE8BA4A">
                  <w:pPr>
                    <w:pStyle w:val="24"/>
                    <w:keepNext w:val="0"/>
                    <w:keepLines w:val="0"/>
                    <w:suppressLineNumbers w:val="0"/>
                    <w:bidi w:val="0"/>
                    <w:spacing w:before="0" w:beforeAutospacing="0" w:after="0" w:afterAutospacing="0"/>
                    <w:ind w:left="0" w:right="0"/>
                    <w:rPr>
                      <w:rFonts w:hint="default"/>
                    </w:rPr>
                  </w:pPr>
                  <w:r>
                    <w:rPr>
                      <w:rFonts w:hint="default"/>
                    </w:rPr>
                    <w:t>污染物种类</w:t>
                  </w:r>
                </w:p>
              </w:tc>
              <w:tc>
                <w:tcPr>
                  <w:tcW w:w="1824" w:type="dxa"/>
                  <w:noWrap w:val="0"/>
                  <w:vAlign w:val="center"/>
                </w:tcPr>
                <w:p w14:paraId="4A7DD2E3">
                  <w:pPr>
                    <w:pStyle w:val="24"/>
                    <w:keepNext w:val="0"/>
                    <w:keepLines w:val="0"/>
                    <w:suppressLineNumbers w:val="0"/>
                    <w:bidi w:val="0"/>
                    <w:spacing w:before="0" w:beforeAutospacing="0" w:after="0" w:afterAutospacing="0"/>
                    <w:ind w:left="0" w:right="0"/>
                    <w:rPr>
                      <w:rFonts w:hint="default" w:eastAsia="宋体"/>
                      <w:lang w:val="en-US" w:eastAsia="zh-CN"/>
                    </w:rPr>
                  </w:pPr>
                  <w:r>
                    <w:rPr>
                      <w:rFonts w:hint="default"/>
                    </w:rPr>
                    <w:t>COD、石油类</w:t>
                  </w:r>
                  <w:r>
                    <w:rPr>
                      <w:rFonts w:hint="eastAsia"/>
                      <w:lang w:eastAsia="zh-CN"/>
                    </w:rPr>
                    <w:t>、</w:t>
                  </w:r>
                  <w:r>
                    <w:rPr>
                      <w:rFonts w:hint="eastAsia"/>
                      <w:lang w:val="en-US" w:eastAsia="zh-CN"/>
                    </w:rPr>
                    <w:t>SS</w:t>
                  </w:r>
                </w:p>
              </w:tc>
              <w:tc>
                <w:tcPr>
                  <w:tcW w:w="2460" w:type="dxa"/>
                  <w:gridSpan w:val="2"/>
                  <w:noWrap w:val="0"/>
                  <w:vAlign w:val="center"/>
                </w:tcPr>
                <w:p w14:paraId="58A26CC7">
                  <w:pPr>
                    <w:pStyle w:val="24"/>
                    <w:keepNext w:val="0"/>
                    <w:keepLines w:val="0"/>
                    <w:suppressLineNumbers w:val="0"/>
                    <w:bidi w:val="0"/>
                    <w:spacing w:before="0" w:beforeAutospacing="0" w:after="0" w:afterAutospacing="0"/>
                    <w:ind w:left="0" w:right="0"/>
                    <w:rPr>
                      <w:rFonts w:hint="default"/>
                      <w:lang w:val="en-US"/>
                    </w:rPr>
                  </w:pPr>
                  <w:r>
                    <w:rPr>
                      <w:rFonts w:hint="default"/>
                    </w:rPr>
                    <w:t>COD、石油类</w:t>
                  </w:r>
                  <w:r>
                    <w:rPr>
                      <w:rFonts w:hint="eastAsia"/>
                      <w:lang w:eastAsia="zh-CN"/>
                    </w:rPr>
                    <w:t>、</w:t>
                  </w:r>
                  <w:r>
                    <w:rPr>
                      <w:rFonts w:hint="eastAsia"/>
                      <w:lang w:val="en-US" w:eastAsia="zh-CN"/>
                    </w:rPr>
                    <w:t>SS、LAS</w:t>
                  </w:r>
                </w:p>
              </w:tc>
              <w:tc>
                <w:tcPr>
                  <w:tcW w:w="1642" w:type="dxa"/>
                  <w:noWrap w:val="0"/>
                  <w:vAlign w:val="center"/>
                </w:tcPr>
                <w:p w14:paraId="32BE5156">
                  <w:pPr>
                    <w:pStyle w:val="24"/>
                    <w:keepNext w:val="0"/>
                    <w:keepLines w:val="0"/>
                    <w:suppressLineNumbers w:val="0"/>
                    <w:bidi w:val="0"/>
                    <w:spacing w:before="0" w:beforeAutospacing="0" w:after="0" w:afterAutospacing="0"/>
                    <w:ind w:left="0" w:right="0"/>
                    <w:rPr>
                      <w:rFonts w:hint="default" w:eastAsia="宋体"/>
                      <w:lang w:val="en-US" w:eastAsia="zh-CN"/>
                    </w:rPr>
                  </w:pPr>
                  <w:r>
                    <w:rPr>
                      <w:rFonts w:hint="default"/>
                    </w:rPr>
                    <w:t>COD、</w:t>
                  </w:r>
                  <w:r>
                    <w:rPr>
                      <w:rFonts w:hint="eastAsia"/>
                      <w:lang w:val="en-US" w:eastAsia="zh-CN"/>
                    </w:rPr>
                    <w:t>氨氮、动植物油</w:t>
                  </w:r>
                </w:p>
              </w:tc>
              <w:tc>
                <w:tcPr>
                  <w:tcW w:w="1312" w:type="dxa"/>
                  <w:noWrap w:val="0"/>
                  <w:vAlign w:val="center"/>
                </w:tcPr>
                <w:p w14:paraId="22A83D52">
                  <w:pPr>
                    <w:pStyle w:val="24"/>
                    <w:keepNext w:val="0"/>
                    <w:keepLines w:val="0"/>
                    <w:suppressLineNumbers w:val="0"/>
                    <w:bidi w:val="0"/>
                    <w:spacing w:before="0" w:beforeAutospacing="0" w:after="0" w:afterAutospacing="0"/>
                    <w:ind w:left="0" w:right="0"/>
                    <w:rPr>
                      <w:rFonts w:hint="eastAsia"/>
                      <w:lang w:eastAsia="zh-CN"/>
                    </w:rPr>
                  </w:pPr>
                  <w:r>
                    <w:rPr>
                      <w:rFonts w:hint="default"/>
                    </w:rPr>
                    <w:t>COD、</w:t>
                  </w:r>
                  <w:r>
                    <w:rPr>
                      <w:rFonts w:hint="eastAsia"/>
                      <w:lang w:eastAsia="zh-CN"/>
                    </w:rPr>
                    <w:t>氨氮</w:t>
                  </w:r>
                </w:p>
              </w:tc>
            </w:tr>
            <w:tr w14:paraId="5D7E6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1460" w:type="dxa"/>
                  <w:noWrap w:val="0"/>
                  <w:vAlign w:val="center"/>
                </w:tcPr>
                <w:p w14:paraId="0AACCB06">
                  <w:pPr>
                    <w:pStyle w:val="24"/>
                    <w:keepNext w:val="0"/>
                    <w:keepLines w:val="0"/>
                    <w:suppressLineNumbers w:val="0"/>
                    <w:bidi w:val="0"/>
                    <w:spacing w:before="0" w:beforeAutospacing="0" w:after="0" w:afterAutospacing="0"/>
                    <w:ind w:left="0" w:right="0"/>
                    <w:rPr>
                      <w:rFonts w:hint="default"/>
                    </w:rPr>
                  </w:pPr>
                  <w:r>
                    <w:rPr>
                      <w:rFonts w:hint="default"/>
                    </w:rPr>
                    <w:t>排放</w:t>
                  </w:r>
                </w:p>
                <w:p w14:paraId="46A7A4A8">
                  <w:pPr>
                    <w:pStyle w:val="24"/>
                    <w:keepNext w:val="0"/>
                    <w:keepLines w:val="0"/>
                    <w:suppressLineNumbers w:val="0"/>
                    <w:bidi w:val="0"/>
                    <w:spacing w:before="0" w:beforeAutospacing="0" w:after="0" w:afterAutospacing="0"/>
                    <w:ind w:left="0" w:right="0"/>
                    <w:rPr>
                      <w:rFonts w:hint="default"/>
                    </w:rPr>
                  </w:pPr>
                  <w:r>
                    <w:rPr>
                      <w:rFonts w:hint="default"/>
                    </w:rPr>
                    <w:t>规律</w:t>
                  </w:r>
                </w:p>
              </w:tc>
              <w:tc>
                <w:tcPr>
                  <w:tcW w:w="1824" w:type="dxa"/>
                  <w:noWrap w:val="0"/>
                  <w:vAlign w:val="center"/>
                </w:tcPr>
                <w:p w14:paraId="5C81DE84">
                  <w:pPr>
                    <w:pStyle w:val="24"/>
                    <w:keepNext w:val="0"/>
                    <w:keepLines w:val="0"/>
                    <w:suppressLineNumbers w:val="0"/>
                    <w:bidi w:val="0"/>
                    <w:spacing w:before="0" w:beforeAutospacing="0" w:after="0" w:afterAutospacing="0"/>
                    <w:ind w:left="0" w:right="0"/>
                    <w:rPr>
                      <w:rFonts w:hint="default"/>
                    </w:rPr>
                  </w:pPr>
                  <w:r>
                    <w:rPr>
                      <w:rFonts w:hint="default"/>
                    </w:rPr>
                    <w:t>连续</w:t>
                  </w:r>
                </w:p>
              </w:tc>
              <w:tc>
                <w:tcPr>
                  <w:tcW w:w="2460" w:type="dxa"/>
                  <w:gridSpan w:val="2"/>
                  <w:noWrap w:val="0"/>
                  <w:vAlign w:val="center"/>
                </w:tcPr>
                <w:p w14:paraId="3890F557">
                  <w:pPr>
                    <w:pStyle w:val="24"/>
                    <w:keepNext w:val="0"/>
                    <w:keepLines w:val="0"/>
                    <w:suppressLineNumbers w:val="0"/>
                    <w:bidi w:val="0"/>
                    <w:spacing w:before="0" w:beforeAutospacing="0" w:after="0" w:afterAutospacing="0"/>
                    <w:ind w:left="0" w:right="0"/>
                    <w:rPr>
                      <w:rFonts w:hint="default"/>
                    </w:rPr>
                  </w:pPr>
                  <w:r>
                    <w:rPr>
                      <w:rFonts w:hint="default"/>
                    </w:rPr>
                    <w:t>连续</w:t>
                  </w:r>
                </w:p>
              </w:tc>
              <w:tc>
                <w:tcPr>
                  <w:tcW w:w="1642" w:type="dxa"/>
                  <w:noWrap w:val="0"/>
                  <w:vAlign w:val="center"/>
                </w:tcPr>
                <w:p w14:paraId="699E54EF">
                  <w:pPr>
                    <w:pStyle w:val="24"/>
                    <w:keepNext w:val="0"/>
                    <w:keepLines w:val="0"/>
                    <w:suppressLineNumbers w:val="0"/>
                    <w:bidi w:val="0"/>
                    <w:spacing w:before="0" w:beforeAutospacing="0" w:after="0" w:afterAutospacing="0"/>
                    <w:ind w:left="0" w:right="0"/>
                    <w:rPr>
                      <w:rFonts w:hint="eastAsia" w:eastAsia="宋体"/>
                      <w:lang w:eastAsia="zh-CN"/>
                    </w:rPr>
                  </w:pPr>
                  <w:r>
                    <w:rPr>
                      <w:rFonts w:hint="eastAsia"/>
                      <w:lang w:val="en-US" w:eastAsia="zh-CN"/>
                    </w:rPr>
                    <w:t>间歇</w:t>
                  </w:r>
                </w:p>
              </w:tc>
              <w:tc>
                <w:tcPr>
                  <w:tcW w:w="1312" w:type="dxa"/>
                  <w:noWrap w:val="0"/>
                  <w:vAlign w:val="center"/>
                </w:tcPr>
                <w:p w14:paraId="476968D3">
                  <w:pPr>
                    <w:pStyle w:val="24"/>
                    <w:keepNext w:val="0"/>
                    <w:keepLines w:val="0"/>
                    <w:suppressLineNumbers w:val="0"/>
                    <w:bidi w:val="0"/>
                    <w:spacing w:before="0" w:beforeAutospacing="0" w:after="0" w:afterAutospacing="0"/>
                    <w:ind w:left="0" w:right="0"/>
                    <w:rPr>
                      <w:rFonts w:hint="default"/>
                    </w:rPr>
                  </w:pPr>
                  <w:r>
                    <w:rPr>
                      <w:rFonts w:hint="default"/>
                    </w:rPr>
                    <w:t>连续</w:t>
                  </w:r>
                </w:p>
              </w:tc>
            </w:tr>
            <w:tr w14:paraId="7569B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1460" w:type="dxa"/>
                  <w:noWrap w:val="0"/>
                  <w:vAlign w:val="center"/>
                </w:tcPr>
                <w:p w14:paraId="7867FF2A">
                  <w:pPr>
                    <w:pStyle w:val="24"/>
                    <w:keepNext w:val="0"/>
                    <w:keepLines w:val="0"/>
                    <w:suppressLineNumbers w:val="0"/>
                    <w:bidi w:val="0"/>
                    <w:spacing w:before="0" w:beforeAutospacing="0" w:after="0" w:afterAutospacing="0"/>
                    <w:ind w:left="0" w:right="0"/>
                    <w:rPr>
                      <w:rFonts w:hint="default"/>
                    </w:rPr>
                  </w:pPr>
                  <w:r>
                    <w:rPr>
                      <w:rFonts w:hint="default"/>
                    </w:rPr>
                    <w:t>排放量（</w:t>
                  </w:r>
                  <w:r>
                    <w:rPr>
                      <w:rFonts w:hint="eastAsia"/>
                      <w:lang w:val="en-US" w:eastAsia="zh-CN"/>
                    </w:rPr>
                    <w:t>m3</w:t>
                  </w:r>
                  <w:r>
                    <w:rPr>
                      <w:rFonts w:hint="default"/>
                    </w:rPr>
                    <w:t>/d）</w:t>
                  </w:r>
                </w:p>
              </w:tc>
              <w:tc>
                <w:tcPr>
                  <w:tcW w:w="1824" w:type="dxa"/>
                  <w:noWrap w:val="0"/>
                  <w:vAlign w:val="center"/>
                </w:tcPr>
                <w:p w14:paraId="2485CA39">
                  <w:pPr>
                    <w:pStyle w:val="2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10.8</w:t>
                  </w:r>
                </w:p>
              </w:tc>
              <w:tc>
                <w:tcPr>
                  <w:tcW w:w="2460" w:type="dxa"/>
                  <w:gridSpan w:val="2"/>
                  <w:noWrap w:val="0"/>
                  <w:vAlign w:val="center"/>
                </w:tcPr>
                <w:p w14:paraId="6A1429DE">
                  <w:pPr>
                    <w:pStyle w:val="2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15</w:t>
                  </w:r>
                </w:p>
              </w:tc>
              <w:tc>
                <w:tcPr>
                  <w:tcW w:w="1642" w:type="dxa"/>
                  <w:noWrap w:val="0"/>
                  <w:vAlign w:val="center"/>
                </w:tcPr>
                <w:p w14:paraId="38346CE4">
                  <w:pPr>
                    <w:pStyle w:val="24"/>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316</w:t>
                  </w:r>
                </w:p>
              </w:tc>
              <w:tc>
                <w:tcPr>
                  <w:tcW w:w="1312" w:type="dxa"/>
                  <w:noWrap w:val="0"/>
                  <w:vAlign w:val="center"/>
                </w:tcPr>
                <w:p w14:paraId="3F91BA2B">
                  <w:pPr>
                    <w:pStyle w:val="24"/>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158</w:t>
                  </w:r>
                </w:p>
              </w:tc>
            </w:tr>
            <w:tr w14:paraId="20790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trPr>
              <w:tc>
                <w:tcPr>
                  <w:tcW w:w="1460" w:type="dxa"/>
                  <w:noWrap w:val="0"/>
                  <w:vAlign w:val="center"/>
                </w:tcPr>
                <w:p w14:paraId="045CD4F8">
                  <w:pPr>
                    <w:pStyle w:val="24"/>
                    <w:keepNext w:val="0"/>
                    <w:keepLines w:val="0"/>
                    <w:suppressLineNumbers w:val="0"/>
                    <w:bidi w:val="0"/>
                    <w:spacing w:before="0" w:beforeAutospacing="0" w:after="0" w:afterAutospacing="0"/>
                    <w:ind w:left="0" w:right="0"/>
                    <w:rPr>
                      <w:rFonts w:hint="default"/>
                    </w:rPr>
                  </w:pPr>
                  <w:r>
                    <w:rPr>
                      <w:rFonts w:hint="default"/>
                    </w:rPr>
                    <w:t>治理</w:t>
                  </w:r>
                </w:p>
                <w:p w14:paraId="3BDFCFBE">
                  <w:pPr>
                    <w:pStyle w:val="24"/>
                    <w:keepNext w:val="0"/>
                    <w:keepLines w:val="0"/>
                    <w:suppressLineNumbers w:val="0"/>
                    <w:bidi w:val="0"/>
                    <w:spacing w:before="0" w:beforeAutospacing="0" w:after="0" w:afterAutospacing="0"/>
                    <w:ind w:left="0" w:right="0"/>
                    <w:rPr>
                      <w:rFonts w:hint="default"/>
                    </w:rPr>
                  </w:pPr>
                  <w:r>
                    <w:rPr>
                      <w:rFonts w:hint="default"/>
                    </w:rPr>
                    <w:t>设施</w:t>
                  </w:r>
                </w:p>
              </w:tc>
              <w:tc>
                <w:tcPr>
                  <w:tcW w:w="4284" w:type="dxa"/>
                  <w:gridSpan w:val="3"/>
                  <w:noWrap w:val="0"/>
                  <w:vAlign w:val="center"/>
                </w:tcPr>
                <w:p w14:paraId="2CD13312">
                  <w:pPr>
                    <w:pStyle w:val="24"/>
                    <w:keepNext w:val="0"/>
                    <w:keepLines w:val="0"/>
                    <w:suppressLineNumbers w:val="0"/>
                    <w:bidi w:val="0"/>
                    <w:spacing w:before="0" w:beforeAutospacing="0" w:after="0" w:afterAutospacing="0"/>
                    <w:ind w:left="0" w:right="0"/>
                    <w:rPr>
                      <w:rFonts w:hint="default"/>
                    </w:rPr>
                  </w:pPr>
                  <w:r>
                    <w:rPr>
                      <w:rFonts w:hint="default"/>
                    </w:rPr>
                    <w:t>依托厂区现有综合废水处理站</w:t>
                  </w:r>
                </w:p>
              </w:tc>
              <w:tc>
                <w:tcPr>
                  <w:tcW w:w="1642" w:type="dxa"/>
                  <w:noWrap w:val="0"/>
                  <w:vAlign w:val="center"/>
                </w:tcPr>
                <w:p w14:paraId="765201AD">
                  <w:pPr>
                    <w:pStyle w:val="24"/>
                    <w:keepNext w:val="0"/>
                    <w:keepLines w:val="0"/>
                    <w:suppressLineNumbers w:val="0"/>
                    <w:bidi w:val="0"/>
                    <w:spacing w:before="0" w:beforeAutospacing="0" w:after="0" w:afterAutospacing="0"/>
                    <w:ind w:left="0" w:right="0"/>
                    <w:rPr>
                      <w:rFonts w:hint="eastAsia" w:eastAsia="宋体"/>
                      <w:lang w:val="en-US" w:eastAsia="zh-CN"/>
                    </w:rPr>
                  </w:pPr>
                  <w:r>
                    <w:rPr>
                      <w:rFonts w:hint="default"/>
                    </w:rPr>
                    <w:t>依托厂区现有</w:t>
                  </w:r>
                  <w:r>
                    <w:rPr>
                      <w:rFonts w:hint="eastAsia"/>
                      <w:lang w:val="en-US" w:eastAsia="zh-CN"/>
                    </w:rPr>
                    <w:t>隔油池</w:t>
                  </w:r>
                </w:p>
              </w:tc>
              <w:tc>
                <w:tcPr>
                  <w:tcW w:w="1312" w:type="dxa"/>
                  <w:noWrap w:val="0"/>
                  <w:vAlign w:val="center"/>
                </w:tcPr>
                <w:p w14:paraId="23720858">
                  <w:pPr>
                    <w:pStyle w:val="24"/>
                    <w:keepNext w:val="0"/>
                    <w:keepLines w:val="0"/>
                    <w:suppressLineNumbers w:val="0"/>
                    <w:bidi w:val="0"/>
                    <w:spacing w:before="0" w:beforeAutospacing="0" w:after="0" w:afterAutospacing="0"/>
                    <w:ind w:left="0" w:right="0"/>
                    <w:rPr>
                      <w:rFonts w:hint="eastAsia"/>
                      <w:lang w:eastAsia="zh-CN"/>
                    </w:rPr>
                  </w:pPr>
                  <w:r>
                    <w:rPr>
                      <w:rFonts w:hint="default"/>
                    </w:rPr>
                    <w:t>依托厂区现有</w:t>
                  </w:r>
                  <w:r>
                    <w:rPr>
                      <w:rFonts w:hint="eastAsia"/>
                      <w:lang w:eastAsia="zh-CN"/>
                    </w:rPr>
                    <w:t>化粪池</w:t>
                  </w:r>
                </w:p>
              </w:tc>
            </w:tr>
            <w:tr w14:paraId="11DC6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1460" w:type="dxa"/>
                  <w:noWrap w:val="0"/>
                  <w:vAlign w:val="center"/>
                </w:tcPr>
                <w:p w14:paraId="6FA709D2">
                  <w:pPr>
                    <w:pStyle w:val="24"/>
                    <w:keepNext w:val="0"/>
                    <w:keepLines w:val="0"/>
                    <w:suppressLineNumbers w:val="0"/>
                    <w:bidi w:val="0"/>
                    <w:spacing w:before="0" w:beforeAutospacing="0" w:after="0" w:afterAutospacing="0"/>
                    <w:ind w:left="0" w:right="0"/>
                    <w:rPr>
                      <w:rFonts w:hint="default"/>
                    </w:rPr>
                  </w:pPr>
                  <w:r>
                    <w:rPr>
                      <w:rFonts w:hint="default"/>
                    </w:rPr>
                    <w:t>工艺与处理</w:t>
                  </w:r>
                </w:p>
                <w:p w14:paraId="13902AD8">
                  <w:pPr>
                    <w:pStyle w:val="24"/>
                    <w:keepNext w:val="0"/>
                    <w:keepLines w:val="0"/>
                    <w:suppressLineNumbers w:val="0"/>
                    <w:bidi w:val="0"/>
                    <w:spacing w:before="0" w:beforeAutospacing="0" w:after="0" w:afterAutospacing="0"/>
                    <w:ind w:left="0" w:right="0"/>
                    <w:rPr>
                      <w:rFonts w:hint="default"/>
                    </w:rPr>
                  </w:pPr>
                  <w:r>
                    <w:rPr>
                      <w:rFonts w:hint="default"/>
                    </w:rPr>
                    <w:t>能力</w:t>
                  </w:r>
                </w:p>
              </w:tc>
              <w:tc>
                <w:tcPr>
                  <w:tcW w:w="3597" w:type="dxa"/>
                  <w:gridSpan w:val="2"/>
                  <w:noWrap w:val="0"/>
                  <w:vAlign w:val="center"/>
                </w:tcPr>
                <w:p w14:paraId="6F63F29E">
                  <w:pPr>
                    <w:pStyle w:val="24"/>
                    <w:keepNext w:val="0"/>
                    <w:keepLines w:val="0"/>
                    <w:suppressLineNumbers w:val="0"/>
                    <w:bidi w:val="0"/>
                    <w:spacing w:before="0" w:beforeAutospacing="0" w:after="0" w:afterAutospacing="0"/>
                    <w:ind w:left="0" w:right="0"/>
                    <w:rPr>
                      <w:rFonts w:hint="default"/>
                    </w:rPr>
                  </w:pPr>
                  <w:r>
                    <w:rPr>
                      <w:rFonts w:hint="default" w:ascii="Times New Roman" w:hAnsi="Times New Roman" w:cs="Times New Roman"/>
                    </w:rPr>
                    <w:t>隔油+水解酸化+接触氧化+MBR膜</w:t>
                  </w:r>
                </w:p>
              </w:tc>
              <w:tc>
                <w:tcPr>
                  <w:tcW w:w="2329" w:type="dxa"/>
                  <w:gridSpan w:val="2"/>
                  <w:noWrap w:val="0"/>
                  <w:vAlign w:val="center"/>
                </w:tcPr>
                <w:p w14:paraId="6C032CF7">
                  <w:pPr>
                    <w:pStyle w:val="24"/>
                    <w:keepNext w:val="0"/>
                    <w:keepLines w:val="0"/>
                    <w:suppressLineNumbers w:val="0"/>
                    <w:bidi w:val="0"/>
                    <w:spacing w:before="0" w:beforeAutospacing="0" w:after="0" w:afterAutospacing="0"/>
                    <w:ind w:left="0" w:right="0"/>
                    <w:rPr>
                      <w:rFonts w:hint="default"/>
                    </w:rPr>
                  </w:pPr>
                  <w:r>
                    <w:rPr>
                      <w:rFonts w:hint="eastAsia" w:cs="Times New Roman"/>
                      <w:lang w:val="en-US" w:eastAsia="zh-CN"/>
                    </w:rPr>
                    <w:t>隔油沉淀处理后进入污水处理站</w:t>
                  </w:r>
                </w:p>
              </w:tc>
              <w:tc>
                <w:tcPr>
                  <w:tcW w:w="1312" w:type="dxa"/>
                  <w:noWrap w:val="0"/>
                  <w:vAlign w:val="center"/>
                </w:tcPr>
                <w:p w14:paraId="1E3C7318">
                  <w:pPr>
                    <w:pStyle w:val="24"/>
                    <w:keepNext w:val="0"/>
                    <w:keepLines w:val="0"/>
                    <w:suppressLineNumbers w:val="0"/>
                    <w:bidi w:val="0"/>
                    <w:spacing w:before="0" w:beforeAutospacing="0" w:after="0" w:afterAutospacing="0"/>
                    <w:ind w:left="0" w:right="0"/>
                    <w:rPr>
                      <w:rFonts w:hint="eastAsia"/>
                      <w:lang w:eastAsia="zh-CN"/>
                    </w:rPr>
                  </w:pPr>
                  <w:r>
                    <w:rPr>
                      <w:rFonts w:hint="eastAsia"/>
                      <w:lang w:val="en-US" w:eastAsia="zh-CN"/>
                    </w:rPr>
                    <w:t>生化处理，</w:t>
                  </w:r>
                  <w:r>
                    <w:rPr>
                      <w:rFonts w:hint="eastAsia" w:cs="Times New Roman"/>
                      <w:lang w:eastAsia="zh-CN"/>
                    </w:rPr>
                    <w:t>化粪池处理后进入污水处理站</w:t>
                  </w:r>
                </w:p>
              </w:tc>
            </w:tr>
            <w:tr w14:paraId="50EE9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60" w:type="dxa"/>
                  <w:noWrap w:val="0"/>
                  <w:vAlign w:val="center"/>
                </w:tcPr>
                <w:p w14:paraId="17BAE5FE">
                  <w:pPr>
                    <w:pStyle w:val="24"/>
                    <w:keepNext w:val="0"/>
                    <w:keepLines w:val="0"/>
                    <w:suppressLineNumbers w:val="0"/>
                    <w:bidi w:val="0"/>
                    <w:spacing w:before="0" w:beforeAutospacing="0" w:after="0" w:afterAutospacing="0"/>
                    <w:ind w:left="0" w:right="0"/>
                    <w:rPr>
                      <w:rFonts w:hint="default"/>
                    </w:rPr>
                  </w:pPr>
                  <w:r>
                    <w:rPr>
                      <w:rFonts w:hint="default"/>
                    </w:rPr>
                    <w:t>废水</w:t>
                  </w:r>
                </w:p>
                <w:p w14:paraId="7915988C">
                  <w:pPr>
                    <w:pStyle w:val="24"/>
                    <w:keepNext w:val="0"/>
                    <w:keepLines w:val="0"/>
                    <w:suppressLineNumbers w:val="0"/>
                    <w:bidi w:val="0"/>
                    <w:spacing w:before="0" w:beforeAutospacing="0" w:after="0" w:afterAutospacing="0"/>
                    <w:ind w:left="0" w:right="0"/>
                    <w:rPr>
                      <w:rFonts w:hint="default"/>
                    </w:rPr>
                  </w:pPr>
                  <w:r>
                    <w:rPr>
                      <w:rFonts w:hint="default"/>
                    </w:rPr>
                    <w:t>回用量</w:t>
                  </w:r>
                </w:p>
              </w:tc>
              <w:tc>
                <w:tcPr>
                  <w:tcW w:w="1824" w:type="dxa"/>
                  <w:noWrap w:val="0"/>
                  <w:vAlign w:val="center"/>
                </w:tcPr>
                <w:p w14:paraId="61AA9EED">
                  <w:pPr>
                    <w:pStyle w:val="24"/>
                    <w:keepNext w:val="0"/>
                    <w:keepLines w:val="0"/>
                    <w:suppressLineNumbers w:val="0"/>
                    <w:bidi w:val="0"/>
                    <w:spacing w:before="0" w:beforeAutospacing="0" w:after="0" w:afterAutospacing="0"/>
                    <w:ind w:left="0" w:right="0"/>
                    <w:rPr>
                      <w:rFonts w:hint="default"/>
                    </w:rPr>
                  </w:pPr>
                  <w:r>
                    <w:rPr>
                      <w:rFonts w:hint="default"/>
                    </w:rPr>
                    <w:t>0</w:t>
                  </w:r>
                </w:p>
              </w:tc>
              <w:tc>
                <w:tcPr>
                  <w:tcW w:w="2460" w:type="dxa"/>
                  <w:gridSpan w:val="2"/>
                  <w:noWrap w:val="0"/>
                  <w:vAlign w:val="center"/>
                </w:tcPr>
                <w:p w14:paraId="6B721EE6">
                  <w:pPr>
                    <w:pStyle w:val="24"/>
                    <w:keepNext w:val="0"/>
                    <w:keepLines w:val="0"/>
                    <w:suppressLineNumbers w:val="0"/>
                    <w:bidi w:val="0"/>
                    <w:spacing w:before="0" w:beforeAutospacing="0" w:after="0" w:afterAutospacing="0"/>
                    <w:ind w:left="0" w:right="0"/>
                    <w:rPr>
                      <w:rFonts w:hint="eastAsia" w:eastAsia="宋体"/>
                      <w:lang w:val="en-US" w:eastAsia="zh-CN"/>
                    </w:rPr>
                  </w:pPr>
                  <w:r>
                    <w:rPr>
                      <w:rFonts w:hint="eastAsia"/>
                      <w:lang w:val="en-US" w:eastAsia="zh-CN"/>
                    </w:rPr>
                    <w:t>0</w:t>
                  </w:r>
                </w:p>
              </w:tc>
              <w:tc>
                <w:tcPr>
                  <w:tcW w:w="1642" w:type="dxa"/>
                  <w:noWrap w:val="0"/>
                  <w:vAlign w:val="center"/>
                </w:tcPr>
                <w:p w14:paraId="001CBADE">
                  <w:pPr>
                    <w:pStyle w:val="24"/>
                    <w:keepNext w:val="0"/>
                    <w:keepLines w:val="0"/>
                    <w:suppressLineNumbers w:val="0"/>
                    <w:bidi w:val="0"/>
                    <w:spacing w:before="0" w:beforeAutospacing="0" w:after="0" w:afterAutospacing="0"/>
                    <w:ind w:left="0" w:right="0"/>
                    <w:rPr>
                      <w:rFonts w:hint="default"/>
                    </w:rPr>
                  </w:pPr>
                  <w:r>
                    <w:rPr>
                      <w:rFonts w:hint="default"/>
                    </w:rPr>
                    <w:t>0</w:t>
                  </w:r>
                </w:p>
              </w:tc>
              <w:tc>
                <w:tcPr>
                  <w:tcW w:w="1312" w:type="dxa"/>
                  <w:noWrap w:val="0"/>
                  <w:vAlign w:val="center"/>
                </w:tcPr>
                <w:p w14:paraId="2FF22E6A">
                  <w:pPr>
                    <w:pStyle w:val="24"/>
                    <w:keepNext w:val="0"/>
                    <w:keepLines w:val="0"/>
                    <w:suppressLineNumbers w:val="0"/>
                    <w:bidi w:val="0"/>
                    <w:spacing w:before="0" w:beforeAutospacing="0" w:after="0" w:afterAutospacing="0"/>
                    <w:ind w:left="0" w:right="0"/>
                    <w:rPr>
                      <w:rFonts w:hint="default"/>
                    </w:rPr>
                  </w:pPr>
                  <w:r>
                    <w:rPr>
                      <w:rFonts w:hint="default"/>
                    </w:rPr>
                    <w:t>0</w:t>
                  </w:r>
                </w:p>
              </w:tc>
            </w:tr>
            <w:tr w14:paraId="13369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1" w:hRule="atLeast"/>
              </w:trPr>
              <w:tc>
                <w:tcPr>
                  <w:tcW w:w="1460" w:type="dxa"/>
                  <w:noWrap w:val="0"/>
                  <w:vAlign w:val="center"/>
                </w:tcPr>
                <w:p w14:paraId="55F1DD85">
                  <w:pPr>
                    <w:pStyle w:val="24"/>
                    <w:keepNext w:val="0"/>
                    <w:keepLines w:val="0"/>
                    <w:suppressLineNumbers w:val="0"/>
                    <w:bidi w:val="0"/>
                    <w:spacing w:before="0" w:beforeAutospacing="0" w:after="0" w:afterAutospacing="0"/>
                    <w:ind w:left="0" w:right="0"/>
                    <w:rPr>
                      <w:rFonts w:hint="default"/>
                    </w:rPr>
                  </w:pPr>
                  <w:r>
                    <w:rPr>
                      <w:rFonts w:hint="default"/>
                    </w:rPr>
                    <w:t>排放</w:t>
                  </w:r>
                </w:p>
                <w:p w14:paraId="695DEAE6">
                  <w:pPr>
                    <w:pStyle w:val="24"/>
                    <w:keepNext w:val="0"/>
                    <w:keepLines w:val="0"/>
                    <w:suppressLineNumbers w:val="0"/>
                    <w:bidi w:val="0"/>
                    <w:spacing w:before="0" w:beforeAutospacing="0" w:after="0" w:afterAutospacing="0"/>
                    <w:ind w:left="0" w:right="0"/>
                    <w:rPr>
                      <w:rFonts w:hint="default"/>
                    </w:rPr>
                  </w:pPr>
                  <w:r>
                    <w:rPr>
                      <w:rFonts w:hint="default"/>
                    </w:rPr>
                    <w:t>去向</w:t>
                  </w:r>
                </w:p>
              </w:tc>
              <w:tc>
                <w:tcPr>
                  <w:tcW w:w="7238" w:type="dxa"/>
                  <w:gridSpan w:val="5"/>
                  <w:noWrap w:val="0"/>
                  <w:vAlign w:val="center"/>
                </w:tcPr>
                <w:p w14:paraId="33915000">
                  <w:pPr>
                    <w:pStyle w:val="24"/>
                    <w:keepNext w:val="0"/>
                    <w:keepLines w:val="0"/>
                    <w:suppressLineNumbers w:val="0"/>
                    <w:bidi w:val="0"/>
                    <w:spacing w:before="0" w:beforeAutospacing="0" w:after="0" w:afterAutospacing="0"/>
                    <w:ind w:left="0" w:right="0"/>
                    <w:rPr>
                      <w:rFonts w:hint="default"/>
                    </w:rPr>
                  </w:pPr>
                  <w:r>
                    <w:rPr>
                      <w:rFonts w:hint="default"/>
                    </w:rPr>
                    <w:t>城东污水处理厂</w:t>
                  </w:r>
                </w:p>
              </w:tc>
            </w:tr>
          </w:tbl>
          <w:p w14:paraId="1816A236">
            <w:pPr>
              <w:keepNext w:val="0"/>
              <w:keepLines w:val="0"/>
              <w:suppressLineNumbers w:val="0"/>
              <w:spacing w:before="0" w:beforeAutospacing="0" w:after="0" w:afterAutospacing="0"/>
              <w:ind w:left="0" w:right="0" w:firstLine="480"/>
              <w:rPr>
                <w:rFonts w:hint="eastAsia"/>
                <w:sz w:val="24"/>
                <w:szCs w:val="24"/>
              </w:rPr>
            </w:pPr>
            <w:r>
              <w:rPr>
                <w:rFonts w:hint="eastAsia"/>
                <w:sz w:val="24"/>
                <w:szCs w:val="24"/>
              </w:rPr>
              <w:t>厂区现有综合污水处理站见下图。</w:t>
            </w:r>
          </w:p>
          <w:p w14:paraId="18C839E6">
            <w:pPr>
              <w:pStyle w:val="6"/>
              <w:keepNext w:val="0"/>
              <w:keepLines w:val="0"/>
              <w:suppressLineNumbers w:val="0"/>
              <w:spacing w:before="0" w:beforeAutospacing="0" w:after="0" w:afterAutospacing="0"/>
              <w:ind w:left="0" w:leftChars="0" w:right="0" w:firstLine="0" w:firstLineChars="0"/>
              <w:jc w:val="center"/>
              <w:rPr>
                <w:rFonts w:hint="eastAsia" w:eastAsia="华文中宋"/>
                <w:lang w:eastAsia="zh-CN"/>
              </w:rPr>
            </w:pPr>
            <w:r>
              <w:rPr>
                <w:rFonts w:hint="eastAsia"/>
                <w:lang w:val="en-US" w:eastAsia="zh-CN"/>
              </w:rPr>
              <w:drawing>
                <wp:inline distT="0" distB="0" distL="114300" distR="114300">
                  <wp:extent cx="3562985" cy="2670810"/>
                  <wp:effectExtent l="0" t="0" r="18415" b="15240"/>
                  <wp:docPr id="2" name="图片 2" descr="2e3f1d74ef950551ed0c3cc63e082f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e3f1d74ef950551ed0c3cc63e082fe6"/>
                          <pic:cNvPicPr>
                            <a:picLocks noChangeAspect="1"/>
                          </pic:cNvPicPr>
                        </pic:nvPicPr>
                        <pic:blipFill>
                          <a:blip r:embed="rId14"/>
                          <a:stretch>
                            <a:fillRect/>
                          </a:stretch>
                        </pic:blipFill>
                        <pic:spPr>
                          <a:xfrm>
                            <a:off x="0" y="0"/>
                            <a:ext cx="3562985" cy="2670810"/>
                          </a:xfrm>
                          <a:prstGeom prst="rect">
                            <a:avLst/>
                          </a:prstGeom>
                        </pic:spPr>
                      </pic:pic>
                    </a:graphicData>
                  </a:graphic>
                </wp:inline>
              </w:drawing>
            </w:r>
          </w:p>
          <w:p w14:paraId="71503F94">
            <w:pPr>
              <w:pStyle w:val="25"/>
              <w:keepNext w:val="0"/>
              <w:keepLines w:val="0"/>
              <w:suppressLineNumbers w:val="0"/>
              <w:bidi w:val="0"/>
              <w:spacing w:before="0" w:beforeAutospacing="0" w:after="0" w:afterAutospacing="0"/>
              <w:ind w:left="0" w:right="0"/>
              <w:rPr>
                <w:rFonts w:hint="default" w:ascii="Times New Roman" w:hAnsi="Times New Roman"/>
                <w:b/>
                <w:bCs/>
                <w:szCs w:val="24"/>
              </w:rPr>
            </w:pPr>
            <w:r>
              <w:rPr>
                <w:rFonts w:hint="default"/>
              </w:rPr>
              <w:t>图</w:t>
            </w:r>
            <w:r>
              <w:rPr>
                <w:rFonts w:hint="eastAsia"/>
                <w:lang w:val="en-US" w:eastAsia="zh-CN"/>
              </w:rPr>
              <w:t>3</w:t>
            </w:r>
            <w:r>
              <w:rPr>
                <w:rFonts w:hint="default"/>
              </w:rPr>
              <w:t>-</w:t>
            </w:r>
            <w:r>
              <w:rPr>
                <w:rFonts w:hint="eastAsia"/>
                <w:lang w:val="en-US" w:eastAsia="zh-CN"/>
              </w:rPr>
              <w:t>3</w:t>
            </w:r>
            <w:r>
              <w:rPr>
                <w:rFonts w:hint="default"/>
              </w:rPr>
              <w:t xml:space="preserve">  综合污水处理站</w:t>
            </w:r>
          </w:p>
          <w:p w14:paraId="7B178658">
            <w:pPr>
              <w:pStyle w:val="4"/>
              <w:suppressLineNumbers w:val="0"/>
              <w:bidi w:val="0"/>
              <w:spacing w:before="0" w:beforeAutospacing="0" w:after="0" w:afterAutospacing="0"/>
              <w:ind w:left="0" w:leftChars="0" w:right="0" w:firstLine="0" w:firstLineChars="0"/>
              <w:rPr>
                <w:rFonts w:hint="eastAsia"/>
              </w:rPr>
            </w:pPr>
            <w:r>
              <w:rPr>
                <w:rFonts w:hint="default"/>
              </w:rPr>
              <mc:AlternateContent>
                <mc:Choice Requires="wps">
                  <w:drawing>
                    <wp:anchor distT="0" distB="0" distL="114300" distR="114300" simplePos="0" relativeHeight="251660288" behindDoc="0" locked="0" layoutInCell="1" allowOverlap="1">
                      <wp:simplePos x="0" y="0"/>
                      <wp:positionH relativeFrom="column">
                        <wp:posOffset>4703445</wp:posOffset>
                      </wp:positionH>
                      <wp:positionV relativeFrom="paragraph">
                        <wp:posOffset>180975</wp:posOffset>
                      </wp:positionV>
                      <wp:extent cx="537845" cy="26924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537845" cy="269240"/>
                              </a:xfrm>
                              <a:prstGeom prst="rect">
                                <a:avLst/>
                              </a:prstGeom>
                              <a:noFill/>
                              <a:ln w="15875">
                                <a:noFill/>
                              </a:ln>
                            </wps:spPr>
                            <wps:txbx>
                              <w:txbxContent>
                                <w:p w14:paraId="25C1599F">
                                  <w:pPr>
                                    <w:ind w:left="0" w:leftChars="0" w:firstLine="0" w:firstLineChars="0"/>
                                  </w:pPr>
                                  <w:r>
                                    <w:rPr>
                                      <w:rFonts w:hint="eastAsia" w:ascii="宋体" w:hAnsi="宋体" w:eastAsia="宋体" w:cs="宋体"/>
                                      <w:kern w:val="0"/>
                                      <w:szCs w:val="21"/>
                                    </w:rPr>
                                    <w:t>★</w:t>
                                  </w:r>
                                </w:p>
                              </w:txbxContent>
                            </wps:txbx>
                            <wps:bodyPr upright="1"/>
                          </wps:wsp>
                        </a:graphicData>
                      </a:graphic>
                    </wp:anchor>
                  </w:drawing>
                </mc:Choice>
                <mc:Fallback>
                  <w:pict>
                    <v:shape id="_x0000_s1026" o:spid="_x0000_s1026" o:spt="202" type="#_x0000_t202" style="position:absolute;left:0pt;margin-left:370.35pt;margin-top:14.25pt;height:21.2pt;width:42.35pt;z-index:251660288;mso-width-relative:page;mso-height-relative:page;" filled="f" stroked="f" coordsize="21600,21600" o:gfxdata="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DzkA8LbAAAACQEAAA8AAAAAAAAAAQAgAAAAIgAAAGRycy9kb3ducmV2LnhtbFBLAQIU&#10;ABQAAAAIAIdO4kCmVAcGtwEAAFkDAAAOAAAAAAAAAAEAIAAAACoBAABkcnMvZTJvRG9jLnhtbFBL&#10;BQYAAAAABgAGAFkBAABTBQAAAAA=&#10;">
                      <v:fill on="f" focussize="0,0"/>
                      <v:stroke on="f" weight="1.25pt"/>
                      <v:imagedata o:title=""/>
                      <o:lock v:ext="edit" aspectratio="f"/>
                      <v:textbox>
                        <w:txbxContent>
                          <w:p w14:paraId="25C1599F">
                            <w:pPr>
                              <w:ind w:left="0" w:leftChars="0" w:firstLine="0" w:firstLineChars="0"/>
                            </w:pPr>
                            <w:r>
                              <w:rPr>
                                <w:rFonts w:hint="eastAsia" w:ascii="宋体" w:hAnsi="宋体" w:eastAsia="宋体" w:cs="宋体"/>
                                <w:kern w:val="0"/>
                                <w:szCs w:val="21"/>
                              </w:rPr>
                              <w:t>★</w:t>
                            </w:r>
                          </w:p>
                        </w:txbxContent>
                      </v:textbox>
                    </v:shape>
                  </w:pict>
                </mc:Fallback>
              </mc:AlternateContent>
            </w:r>
            <w:r>
              <w:rPr>
                <w:rFonts w:hint="default"/>
              </w:rPr>
              <mc:AlternateContent>
                <mc:Choice Requires="wps">
                  <w:drawing>
                    <wp:anchor distT="0" distB="0" distL="114300" distR="114300" simplePos="0" relativeHeight="251659264" behindDoc="0" locked="0" layoutInCell="1" allowOverlap="1">
                      <wp:simplePos x="0" y="0"/>
                      <wp:positionH relativeFrom="column">
                        <wp:posOffset>2540</wp:posOffset>
                      </wp:positionH>
                      <wp:positionV relativeFrom="paragraph">
                        <wp:posOffset>1776095</wp:posOffset>
                      </wp:positionV>
                      <wp:extent cx="1902460" cy="293370"/>
                      <wp:effectExtent l="4445" t="4445" r="13335" b="6985"/>
                      <wp:wrapNone/>
                      <wp:docPr id="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1902460" cy="293370"/>
                              </a:xfrm>
                              <a:prstGeom prst="rect">
                                <a:avLst/>
                              </a:prstGeom>
                              <a:solidFill>
                                <a:srgbClr val="FFFFFF"/>
                              </a:solidFill>
                              <a:ln w="9525">
                                <a:solidFill>
                                  <a:srgbClr val="000000"/>
                                </a:solidFill>
                                <a:prstDash val="dash"/>
                                <a:miter lim="800000"/>
                              </a:ln>
                            </wps:spPr>
                            <wps:txbx>
                              <w:txbxContent>
                                <w:p w14:paraId="2CA5C5CA">
                                  <w:pPr>
                                    <w:ind w:left="0" w:leftChars="0" w:firstLine="0" w:firstLineChars="0"/>
                                  </w:pPr>
                                  <w:r>
                                    <w:rPr>
                                      <w:rFonts w:hint="eastAsia"/>
                                    </w:rPr>
                                    <w:t>图例：</w:t>
                                  </w:r>
                                  <w:r>
                                    <w:rPr>
                                      <w:rFonts w:hint="eastAsia" w:ascii="宋体" w:hAnsi="宋体" w:eastAsia="宋体" w:cs="宋体"/>
                                      <w:kern w:val="0"/>
                                      <w:szCs w:val="21"/>
                                    </w:rPr>
                                    <w:t>★  废</w:t>
                                  </w:r>
                                  <w:r>
                                    <w:rPr>
                                      <w:rFonts w:hint="eastAsia" w:ascii="宋体" w:hAnsi="宋体" w:eastAsia="宋体" w:cs="宋体"/>
                                      <w:kern w:val="0"/>
                                      <w:szCs w:val="21"/>
                                      <w:lang w:eastAsia="zh-CN"/>
                                    </w:rPr>
                                    <w:t>水</w:t>
                                  </w:r>
                                  <w:r>
                                    <w:rPr>
                                      <w:rFonts w:hint="eastAsia" w:ascii="宋体" w:hAnsi="宋体" w:eastAsia="宋体" w:cs="宋体"/>
                                      <w:kern w:val="0"/>
                                      <w:szCs w:val="21"/>
                                    </w:rPr>
                                    <w:t>监测点位</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0.2pt;margin-top:139.85pt;height:23.1pt;width:149.8pt;z-index:251659264;mso-width-relative:page;mso-height-relative:page;" fillcolor="#FFFFFF" filled="t" stroked="t" coordsize="21600,21600" o:gfxdata="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HEwD8jWAAAACAEAAA8AAAAAAAAAAQAgAAAA&#10;IgAAAGRycy9kb3ducmV2LnhtbFBLAQIUABQAAAAIAIdO4kDVRl8iRgIAAJMEAAAOAAAAAAAAAAEA&#10;IAAAACUBAABkcnMvZTJvRG9jLnhtbFBLBQYAAAAABgAGAFkBAADdBQAAAAA=&#10;">
                      <v:fill on="t" focussize="0,0"/>
                      <v:stroke color="#000000" miterlimit="8" joinstyle="miter" dashstyle="dash"/>
                      <v:imagedata o:title=""/>
                      <o:lock v:ext="edit" aspectratio="f"/>
                      <v:textbox>
                        <w:txbxContent>
                          <w:p w14:paraId="2CA5C5CA">
                            <w:pPr>
                              <w:ind w:left="0" w:leftChars="0" w:firstLine="0" w:firstLineChars="0"/>
                            </w:pPr>
                            <w:r>
                              <w:rPr>
                                <w:rFonts w:hint="eastAsia"/>
                              </w:rPr>
                              <w:t>图例：</w:t>
                            </w:r>
                            <w:r>
                              <w:rPr>
                                <w:rFonts w:hint="eastAsia" w:ascii="宋体" w:hAnsi="宋体" w:eastAsia="宋体" w:cs="宋体"/>
                                <w:kern w:val="0"/>
                                <w:szCs w:val="21"/>
                              </w:rPr>
                              <w:t>★  废</w:t>
                            </w:r>
                            <w:r>
                              <w:rPr>
                                <w:rFonts w:hint="eastAsia" w:ascii="宋体" w:hAnsi="宋体" w:eastAsia="宋体" w:cs="宋体"/>
                                <w:kern w:val="0"/>
                                <w:szCs w:val="21"/>
                                <w:lang w:eastAsia="zh-CN"/>
                              </w:rPr>
                              <w:t>水</w:t>
                            </w:r>
                            <w:r>
                              <w:rPr>
                                <w:rFonts w:hint="eastAsia" w:ascii="宋体" w:hAnsi="宋体" w:eastAsia="宋体" w:cs="宋体"/>
                                <w:kern w:val="0"/>
                                <w:szCs w:val="21"/>
                              </w:rPr>
                              <w:t>监测点位</w:t>
                            </w:r>
                          </w:p>
                        </w:txbxContent>
                      </v:textbox>
                    </v:shape>
                  </w:pict>
                </mc:Fallback>
              </mc:AlternateContent>
            </w:r>
            <w:r>
              <w:rPr>
                <w:rFonts w:hint="default"/>
              </w:rPr>
              <w:drawing>
                <wp:inline distT="0" distB="0" distL="114300" distR="114300">
                  <wp:extent cx="5313045" cy="1795145"/>
                  <wp:effectExtent l="0" t="0" r="1905" b="14605"/>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15"/>
                          <a:stretch>
                            <a:fillRect/>
                          </a:stretch>
                        </pic:blipFill>
                        <pic:spPr>
                          <a:xfrm>
                            <a:off x="0" y="0"/>
                            <a:ext cx="5313045" cy="1795145"/>
                          </a:xfrm>
                          <a:prstGeom prst="rect">
                            <a:avLst/>
                          </a:prstGeom>
                          <a:noFill/>
                          <a:ln>
                            <a:noFill/>
                          </a:ln>
                        </pic:spPr>
                      </pic:pic>
                    </a:graphicData>
                  </a:graphic>
                </wp:inline>
              </w:drawing>
            </w:r>
          </w:p>
          <w:p w14:paraId="605A6E7A">
            <w:pPr>
              <w:pStyle w:val="4"/>
              <w:suppressLineNumbers w:val="0"/>
              <w:bidi w:val="0"/>
              <w:spacing w:before="0" w:beforeAutospacing="0" w:after="0" w:afterAutospacing="0"/>
              <w:ind w:left="0" w:right="0"/>
              <w:rPr>
                <w:rFonts w:hint="eastAsia"/>
              </w:rPr>
            </w:pPr>
          </w:p>
          <w:p w14:paraId="209B37BA">
            <w:pPr>
              <w:pStyle w:val="25"/>
              <w:keepNext w:val="0"/>
              <w:keepLines w:val="0"/>
              <w:suppressLineNumbers w:val="0"/>
              <w:bidi w:val="0"/>
              <w:spacing w:before="0" w:beforeAutospacing="0" w:after="0" w:afterAutospacing="0"/>
              <w:ind w:left="0" w:right="0"/>
              <w:rPr>
                <w:rFonts w:hint="eastAsia"/>
              </w:rPr>
            </w:pPr>
            <w:r>
              <w:rPr>
                <w:rFonts w:hint="eastAsia"/>
              </w:rPr>
              <w:t>图3-</w:t>
            </w:r>
            <w:r>
              <w:rPr>
                <w:rFonts w:hint="eastAsia"/>
                <w:lang w:val="en-US" w:eastAsia="zh-CN"/>
              </w:rPr>
              <w:t>4</w:t>
            </w:r>
            <w:r>
              <w:rPr>
                <w:rFonts w:hint="eastAsia"/>
              </w:rPr>
              <w:t xml:space="preserve"> 废</w:t>
            </w:r>
            <w:r>
              <w:rPr>
                <w:rFonts w:hint="eastAsia"/>
                <w:lang w:eastAsia="zh-CN"/>
              </w:rPr>
              <w:t>水</w:t>
            </w:r>
            <w:r>
              <w:rPr>
                <w:rFonts w:hint="eastAsia"/>
              </w:rPr>
              <w:t>治理工艺流程图</w:t>
            </w:r>
          </w:p>
          <w:p w14:paraId="4D648169">
            <w:pPr>
              <w:pStyle w:val="4"/>
              <w:suppressLineNumbers w:val="0"/>
              <w:bidi w:val="0"/>
              <w:spacing w:before="0" w:beforeAutospacing="0" w:after="0" w:afterAutospacing="0"/>
              <w:ind w:left="0" w:right="0"/>
              <w:rPr>
                <w:rFonts w:hint="default"/>
              </w:rPr>
            </w:pPr>
            <w:r>
              <w:rPr>
                <w:rFonts w:hint="eastAsia"/>
              </w:rPr>
              <w:t>3.1.3固体废物</w:t>
            </w:r>
          </w:p>
          <w:p w14:paraId="5DCA3247">
            <w:pPr>
              <w:keepNext w:val="0"/>
              <w:keepLines w:val="0"/>
              <w:widowControl w:val="0"/>
              <w:suppressLineNumbers w:val="0"/>
              <w:spacing w:before="0" w:beforeAutospacing="0" w:after="0" w:afterAutospacing="0" w:line="360" w:lineRule="auto"/>
              <w:ind w:left="0" w:right="0" w:firstLine="480" w:firstLineChars="200"/>
              <w:jc w:val="left"/>
              <w:rPr>
                <w:rFonts w:hint="eastAsia" w:ascii="Times New Roman" w:hAnsi="Times New Roman" w:eastAsia="宋体" w:cs="Times New Roman"/>
                <w:spacing w:val="3"/>
                <w:sz w:val="24"/>
                <w:szCs w:val="24"/>
              </w:rPr>
            </w:pPr>
            <w:r>
              <w:rPr>
                <w:rFonts w:hint="eastAsia" w:ascii="Times New Roman" w:hAnsi="Times New Roman" w:eastAsia="宋体" w:cs="宋体"/>
                <w:kern w:val="0"/>
                <w:sz w:val="24"/>
                <w:szCs w:val="24"/>
                <w:lang w:val="en-US" w:eastAsia="zh-CN" w:bidi="ar"/>
              </w:rPr>
              <w:t>本项目固废按其来源主要分为</w:t>
            </w:r>
            <w:r>
              <w:rPr>
                <w:rFonts w:hint="default" w:ascii="Times New Roman" w:hAnsi="Times New Roman" w:eastAsia="宋体" w:cs="Times New Roman"/>
                <w:kern w:val="0"/>
                <w:sz w:val="24"/>
                <w:szCs w:val="24"/>
                <w:lang w:val="en-US" w:eastAsia="zh-CN" w:bidi="ar"/>
              </w:rPr>
              <w:t>2</w:t>
            </w:r>
            <w:r>
              <w:rPr>
                <w:rFonts w:hint="eastAsia" w:ascii="Times New Roman" w:hAnsi="Times New Roman" w:eastAsia="宋体" w:cs="宋体"/>
                <w:kern w:val="0"/>
                <w:sz w:val="24"/>
                <w:szCs w:val="24"/>
                <w:lang w:val="en-US" w:eastAsia="zh-CN" w:bidi="ar"/>
              </w:rPr>
              <w:t>类，包括生产过程中产生的一般固废、危险固体废物，</w:t>
            </w:r>
            <w:r>
              <w:rPr>
                <w:rFonts w:hint="eastAsia" w:ascii="Times New Roman" w:hAnsi="Times New Roman" w:eastAsia="宋体" w:cs="Times New Roman"/>
                <w:spacing w:val="3"/>
                <w:sz w:val="24"/>
                <w:szCs w:val="24"/>
              </w:rPr>
              <w:t>厂区设置了一般固废临时收集场所</w:t>
            </w:r>
            <w:r>
              <w:rPr>
                <w:rFonts w:hint="eastAsia" w:ascii="Times New Roman" w:hAnsi="Times New Roman" w:eastAsia="宋体" w:cs="Times New Roman"/>
                <w:spacing w:val="3"/>
                <w:sz w:val="24"/>
                <w:szCs w:val="24"/>
                <w:lang w:eastAsia="zh-CN"/>
              </w:rPr>
              <w:t>和危废库</w:t>
            </w:r>
            <w:r>
              <w:rPr>
                <w:rFonts w:hint="eastAsia" w:ascii="Times New Roman" w:hAnsi="Times New Roman" w:eastAsia="宋体" w:cs="Times New Roman"/>
                <w:spacing w:val="3"/>
                <w:sz w:val="24"/>
                <w:szCs w:val="24"/>
              </w:rPr>
              <w:t>。</w:t>
            </w:r>
          </w:p>
          <w:p w14:paraId="07129DF6">
            <w:pPr>
              <w:pStyle w:val="56"/>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表3-4</w:t>
            </w:r>
            <w:r>
              <w:rPr>
                <w:rFonts w:hint="default"/>
                <w:lang w:val="en-US" w:eastAsia="zh-CN"/>
              </w:rPr>
              <w:t xml:space="preserve">  </w:t>
            </w:r>
            <w:r>
              <w:rPr>
                <w:rFonts w:hint="eastAsia"/>
                <w:lang w:val="en-US" w:eastAsia="zh-CN"/>
              </w:rPr>
              <w:t>本项目一般固体废弃物产生和排放情况一览表</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6"/>
              <w:gridCol w:w="1087"/>
              <w:gridCol w:w="1087"/>
              <w:gridCol w:w="943"/>
              <w:gridCol w:w="1049"/>
              <w:gridCol w:w="1175"/>
              <w:gridCol w:w="1077"/>
              <w:gridCol w:w="1194"/>
            </w:tblGrid>
            <w:tr w14:paraId="38065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6" w:type="dxa"/>
                  <w:vMerge w:val="restart"/>
                  <w:vAlign w:val="center"/>
                </w:tcPr>
                <w:p w14:paraId="4BB8C809">
                  <w:pPr>
                    <w:pStyle w:val="24"/>
                    <w:rPr>
                      <w:rFonts w:hint="default"/>
                    </w:rPr>
                  </w:pPr>
                  <w:r>
                    <w:rPr>
                      <w:rFonts w:hint="default"/>
                    </w:rPr>
                    <w:t>工序/生产线</w:t>
                  </w:r>
                </w:p>
              </w:tc>
              <w:tc>
                <w:tcPr>
                  <w:tcW w:w="1087" w:type="dxa"/>
                  <w:vMerge w:val="restart"/>
                  <w:vAlign w:val="center"/>
                </w:tcPr>
                <w:p w14:paraId="3DCA59EB">
                  <w:pPr>
                    <w:pStyle w:val="24"/>
                    <w:rPr>
                      <w:rFonts w:hint="default"/>
                    </w:rPr>
                  </w:pPr>
                  <w:r>
                    <w:rPr>
                      <w:rFonts w:hint="default"/>
                    </w:rPr>
                    <w:t>装置</w:t>
                  </w:r>
                </w:p>
              </w:tc>
              <w:tc>
                <w:tcPr>
                  <w:tcW w:w="1087" w:type="dxa"/>
                  <w:vMerge w:val="restart"/>
                  <w:vAlign w:val="center"/>
                </w:tcPr>
                <w:p w14:paraId="5C4033F9">
                  <w:pPr>
                    <w:pStyle w:val="24"/>
                    <w:rPr>
                      <w:rFonts w:hint="default"/>
                    </w:rPr>
                  </w:pPr>
                  <w:r>
                    <w:rPr>
                      <w:rFonts w:hint="default"/>
                    </w:rPr>
                    <w:t>固体废物名称</w:t>
                  </w:r>
                </w:p>
              </w:tc>
              <w:tc>
                <w:tcPr>
                  <w:tcW w:w="943" w:type="dxa"/>
                  <w:vMerge w:val="restart"/>
                  <w:vAlign w:val="center"/>
                </w:tcPr>
                <w:p w14:paraId="0B60B407">
                  <w:pPr>
                    <w:pStyle w:val="24"/>
                    <w:rPr>
                      <w:rFonts w:hint="default"/>
                    </w:rPr>
                  </w:pPr>
                  <w:r>
                    <w:rPr>
                      <w:rFonts w:hint="default"/>
                    </w:rPr>
                    <w:t>固废</w:t>
                  </w:r>
                </w:p>
                <w:p w14:paraId="37A804FB">
                  <w:pPr>
                    <w:pStyle w:val="24"/>
                    <w:rPr>
                      <w:rFonts w:hint="default"/>
                    </w:rPr>
                  </w:pPr>
                  <w:r>
                    <w:rPr>
                      <w:rFonts w:hint="default"/>
                    </w:rPr>
                    <w:t>属性</w:t>
                  </w:r>
                </w:p>
              </w:tc>
              <w:tc>
                <w:tcPr>
                  <w:tcW w:w="2224" w:type="dxa"/>
                  <w:gridSpan w:val="2"/>
                  <w:vAlign w:val="center"/>
                </w:tcPr>
                <w:p w14:paraId="2A86E011">
                  <w:pPr>
                    <w:pStyle w:val="24"/>
                    <w:rPr>
                      <w:rFonts w:hint="default"/>
                    </w:rPr>
                  </w:pPr>
                  <w:r>
                    <w:rPr>
                      <w:rFonts w:hint="eastAsia"/>
                      <w:lang w:val="en-US" w:eastAsia="zh-CN"/>
                    </w:rPr>
                    <w:t>环评</w:t>
                  </w:r>
                  <w:r>
                    <w:rPr>
                      <w:rFonts w:hint="default"/>
                    </w:rPr>
                    <w:t>产生情况</w:t>
                  </w:r>
                </w:p>
              </w:tc>
              <w:tc>
                <w:tcPr>
                  <w:tcW w:w="2271" w:type="dxa"/>
                  <w:gridSpan w:val="2"/>
                  <w:vAlign w:val="center"/>
                </w:tcPr>
                <w:p w14:paraId="45596634">
                  <w:pPr>
                    <w:pStyle w:val="24"/>
                    <w:ind w:left="0" w:leftChars="0" w:right="0" w:rightChars="0" w:firstLine="0" w:firstLineChars="0"/>
                    <w:rPr>
                      <w:rFonts w:hint="default"/>
                    </w:rPr>
                  </w:pPr>
                  <w:r>
                    <w:rPr>
                      <w:rFonts w:hint="eastAsia"/>
                      <w:lang w:val="en-US" w:eastAsia="zh-CN"/>
                    </w:rPr>
                    <w:t>验收</w:t>
                  </w:r>
                  <w:r>
                    <w:rPr>
                      <w:rFonts w:hint="default"/>
                    </w:rPr>
                    <w:t>产生情况</w:t>
                  </w:r>
                </w:p>
              </w:tc>
            </w:tr>
            <w:tr w14:paraId="3DF18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6" w:type="dxa"/>
                  <w:vMerge w:val="continue"/>
                  <w:vAlign w:val="center"/>
                </w:tcPr>
                <w:p w14:paraId="6ED06CBA">
                  <w:pPr>
                    <w:pStyle w:val="24"/>
                    <w:rPr>
                      <w:rFonts w:hint="default"/>
                    </w:rPr>
                  </w:pPr>
                </w:p>
              </w:tc>
              <w:tc>
                <w:tcPr>
                  <w:tcW w:w="1087" w:type="dxa"/>
                  <w:vMerge w:val="continue"/>
                  <w:vAlign w:val="center"/>
                </w:tcPr>
                <w:p w14:paraId="7B2E231D">
                  <w:pPr>
                    <w:pStyle w:val="24"/>
                    <w:rPr>
                      <w:rFonts w:hint="default"/>
                    </w:rPr>
                  </w:pPr>
                </w:p>
              </w:tc>
              <w:tc>
                <w:tcPr>
                  <w:tcW w:w="1087" w:type="dxa"/>
                  <w:vMerge w:val="continue"/>
                  <w:vAlign w:val="center"/>
                </w:tcPr>
                <w:p w14:paraId="23D046CA">
                  <w:pPr>
                    <w:pStyle w:val="24"/>
                    <w:rPr>
                      <w:rFonts w:hint="default"/>
                    </w:rPr>
                  </w:pPr>
                </w:p>
              </w:tc>
              <w:tc>
                <w:tcPr>
                  <w:tcW w:w="943" w:type="dxa"/>
                  <w:vMerge w:val="continue"/>
                  <w:vAlign w:val="center"/>
                </w:tcPr>
                <w:p w14:paraId="7CB34EE6">
                  <w:pPr>
                    <w:pStyle w:val="24"/>
                    <w:rPr>
                      <w:rFonts w:hint="default"/>
                    </w:rPr>
                  </w:pPr>
                </w:p>
              </w:tc>
              <w:tc>
                <w:tcPr>
                  <w:tcW w:w="1049" w:type="dxa"/>
                  <w:vAlign w:val="center"/>
                </w:tcPr>
                <w:p w14:paraId="1EF425FB">
                  <w:pPr>
                    <w:pStyle w:val="24"/>
                    <w:rPr>
                      <w:rFonts w:hint="default"/>
                    </w:rPr>
                  </w:pPr>
                  <w:r>
                    <w:rPr>
                      <w:rFonts w:hint="default"/>
                    </w:rPr>
                    <w:t>产生量（t/a）</w:t>
                  </w:r>
                </w:p>
              </w:tc>
              <w:tc>
                <w:tcPr>
                  <w:tcW w:w="1175" w:type="dxa"/>
                  <w:vAlign w:val="center"/>
                </w:tcPr>
                <w:p w14:paraId="05B08BB4">
                  <w:pPr>
                    <w:pStyle w:val="24"/>
                    <w:rPr>
                      <w:rFonts w:hint="eastAsia"/>
                      <w:lang w:val="en-US" w:eastAsia="zh-CN"/>
                    </w:rPr>
                  </w:pPr>
                  <w:r>
                    <w:rPr>
                      <w:rFonts w:hint="eastAsia"/>
                      <w:lang w:val="en-US" w:eastAsia="zh-CN"/>
                    </w:rPr>
                    <w:t>处置</w:t>
                  </w:r>
                </w:p>
                <w:p w14:paraId="38A2CC24">
                  <w:pPr>
                    <w:pStyle w:val="24"/>
                    <w:rPr>
                      <w:rFonts w:hint="default" w:eastAsia="宋体"/>
                      <w:lang w:val="en-US" w:eastAsia="zh-CN"/>
                    </w:rPr>
                  </w:pPr>
                  <w:r>
                    <w:rPr>
                      <w:rFonts w:hint="eastAsia"/>
                      <w:lang w:val="en-US" w:eastAsia="zh-CN"/>
                    </w:rPr>
                    <w:t>措施</w:t>
                  </w:r>
                </w:p>
              </w:tc>
              <w:tc>
                <w:tcPr>
                  <w:tcW w:w="1077" w:type="dxa"/>
                  <w:vAlign w:val="center"/>
                </w:tcPr>
                <w:p w14:paraId="6AF8E7B6">
                  <w:pPr>
                    <w:pStyle w:val="24"/>
                    <w:ind w:left="0" w:leftChars="0" w:right="0" w:rightChars="0" w:firstLine="0" w:firstLineChars="0"/>
                    <w:rPr>
                      <w:rFonts w:hint="default"/>
                    </w:rPr>
                  </w:pPr>
                  <w:r>
                    <w:rPr>
                      <w:rFonts w:hint="default"/>
                    </w:rPr>
                    <w:t>产生量（t/a）</w:t>
                  </w:r>
                </w:p>
              </w:tc>
              <w:tc>
                <w:tcPr>
                  <w:tcW w:w="1194" w:type="dxa"/>
                  <w:vAlign w:val="center"/>
                </w:tcPr>
                <w:p w14:paraId="7A37191A">
                  <w:pPr>
                    <w:pStyle w:val="24"/>
                    <w:rPr>
                      <w:rFonts w:hint="eastAsia"/>
                      <w:lang w:val="en-US" w:eastAsia="zh-CN"/>
                    </w:rPr>
                  </w:pPr>
                  <w:r>
                    <w:rPr>
                      <w:rFonts w:hint="eastAsia"/>
                      <w:lang w:val="en-US" w:eastAsia="zh-CN"/>
                    </w:rPr>
                    <w:t>处置</w:t>
                  </w:r>
                </w:p>
                <w:p w14:paraId="4309E676">
                  <w:pPr>
                    <w:pStyle w:val="24"/>
                    <w:ind w:left="0" w:leftChars="0" w:right="0" w:rightChars="0" w:firstLine="0" w:firstLineChars="0"/>
                    <w:rPr>
                      <w:rFonts w:hint="default"/>
                    </w:rPr>
                  </w:pPr>
                  <w:r>
                    <w:rPr>
                      <w:rFonts w:hint="eastAsia"/>
                      <w:lang w:val="en-US" w:eastAsia="zh-CN"/>
                    </w:rPr>
                    <w:t>措施</w:t>
                  </w:r>
                </w:p>
              </w:tc>
            </w:tr>
            <w:tr w14:paraId="17C15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1086" w:type="dxa"/>
                  <w:vMerge w:val="restart"/>
                  <w:vAlign w:val="center"/>
                </w:tcPr>
                <w:p w14:paraId="4973C3C7">
                  <w:pPr>
                    <w:pStyle w:val="24"/>
                    <w:rPr>
                      <w:rFonts w:hint="default"/>
                    </w:rPr>
                  </w:pPr>
                  <w:r>
                    <w:rPr>
                      <w:rFonts w:hint="eastAsia"/>
                      <w:lang w:eastAsia="zh-CN"/>
                    </w:rPr>
                    <w:t>端面密封件</w:t>
                  </w:r>
                  <w:r>
                    <w:rPr>
                      <w:rFonts w:hint="default"/>
                    </w:rPr>
                    <w:t>生产</w:t>
                  </w:r>
                </w:p>
              </w:tc>
              <w:tc>
                <w:tcPr>
                  <w:tcW w:w="1087" w:type="dxa"/>
                  <w:vAlign w:val="center"/>
                </w:tcPr>
                <w:p w14:paraId="40E3B65F">
                  <w:pPr>
                    <w:pStyle w:val="24"/>
                    <w:rPr>
                      <w:rFonts w:hint="eastAsia"/>
                      <w:lang w:eastAsia="zh-CN"/>
                    </w:rPr>
                  </w:pPr>
                  <w:r>
                    <w:rPr>
                      <w:rFonts w:hint="eastAsia"/>
                      <w:lang w:eastAsia="zh-CN"/>
                    </w:rPr>
                    <w:t>机加工</w:t>
                  </w:r>
                </w:p>
              </w:tc>
              <w:tc>
                <w:tcPr>
                  <w:tcW w:w="1087" w:type="dxa"/>
                  <w:vAlign w:val="center"/>
                </w:tcPr>
                <w:p w14:paraId="0CD8FE40">
                  <w:pPr>
                    <w:pStyle w:val="24"/>
                    <w:rPr>
                      <w:rFonts w:hint="default"/>
                    </w:rPr>
                  </w:pPr>
                  <w:r>
                    <w:rPr>
                      <w:rFonts w:hint="eastAsia"/>
                      <w:lang w:val="en-US" w:eastAsia="zh-CN"/>
                    </w:rPr>
                    <w:t>废切削、磨削液</w:t>
                  </w:r>
                </w:p>
              </w:tc>
              <w:tc>
                <w:tcPr>
                  <w:tcW w:w="943" w:type="dxa"/>
                  <w:vAlign w:val="center"/>
                </w:tcPr>
                <w:p w14:paraId="4A44F3C6">
                  <w:pPr>
                    <w:pStyle w:val="24"/>
                    <w:rPr>
                      <w:rFonts w:hint="default"/>
                    </w:rPr>
                  </w:pPr>
                  <w:r>
                    <w:rPr>
                      <w:rFonts w:hint="default"/>
                    </w:rPr>
                    <w:t>危险废物</w:t>
                  </w:r>
                </w:p>
              </w:tc>
              <w:tc>
                <w:tcPr>
                  <w:tcW w:w="1049" w:type="dxa"/>
                  <w:vAlign w:val="center"/>
                </w:tcPr>
                <w:p w14:paraId="310CC7D2">
                  <w:pPr>
                    <w:pStyle w:val="24"/>
                    <w:ind w:left="0" w:leftChars="0" w:right="0" w:rightChars="0" w:firstLine="0" w:firstLineChars="0"/>
                    <w:rPr>
                      <w:rFonts w:hint="eastAsia"/>
                      <w:lang w:eastAsia="zh-CN"/>
                    </w:rPr>
                  </w:pPr>
                  <w:r>
                    <w:rPr>
                      <w:rFonts w:hint="eastAsia"/>
                      <w:lang w:val="en-US" w:eastAsia="zh-CN"/>
                    </w:rPr>
                    <w:t>12.7</w:t>
                  </w:r>
                </w:p>
              </w:tc>
              <w:tc>
                <w:tcPr>
                  <w:tcW w:w="1175" w:type="dxa"/>
                  <w:vMerge w:val="restart"/>
                  <w:shd w:val="clear" w:color="auto" w:fill="auto"/>
                  <w:vAlign w:val="center"/>
                </w:tcPr>
                <w:p w14:paraId="4A0C1BE2">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rPr>
                    <w:t>暂存在危废库内，单独隔离存放，定期交由有资质单位处理</w:t>
                  </w:r>
                </w:p>
              </w:tc>
              <w:tc>
                <w:tcPr>
                  <w:tcW w:w="1077" w:type="dxa"/>
                  <w:shd w:val="clear" w:color="auto" w:fill="auto"/>
                  <w:vAlign w:val="center"/>
                </w:tcPr>
                <w:p w14:paraId="4D2959C8">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12.7</w:t>
                  </w:r>
                </w:p>
              </w:tc>
              <w:tc>
                <w:tcPr>
                  <w:tcW w:w="1194" w:type="dxa"/>
                  <w:vMerge w:val="restart"/>
                  <w:vAlign w:val="center"/>
                </w:tcPr>
                <w:p w14:paraId="4A066ED7">
                  <w:pPr>
                    <w:pStyle w:val="24"/>
                    <w:ind w:firstLine="0" w:firstLineChars="0"/>
                    <w:rPr>
                      <w:rFonts w:hint="eastAsia" w:eastAsia="宋体"/>
                      <w:lang w:val="en-US" w:eastAsia="zh-CN"/>
                    </w:rPr>
                  </w:pPr>
                  <w:r>
                    <w:rPr>
                      <w:rFonts w:hint="eastAsia"/>
                      <w:lang w:val="en-US" w:eastAsia="zh-CN"/>
                    </w:rPr>
                    <w:t>委托</w:t>
                  </w:r>
                  <w:r>
                    <w:rPr>
                      <w:rFonts w:hint="default"/>
                    </w:rPr>
                    <w:t>安徽省爱维斯环保科技有限公司</w:t>
                  </w:r>
                  <w:r>
                    <w:rPr>
                      <w:rFonts w:hint="eastAsia"/>
                      <w:lang w:val="en-US" w:eastAsia="zh-CN"/>
                    </w:rPr>
                    <w:t>处理</w:t>
                  </w:r>
                </w:p>
              </w:tc>
            </w:tr>
            <w:tr w14:paraId="76812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1086" w:type="dxa"/>
                  <w:vMerge w:val="continue"/>
                  <w:vAlign w:val="center"/>
                </w:tcPr>
                <w:p w14:paraId="2DDEEEBE">
                  <w:pPr>
                    <w:pStyle w:val="24"/>
                    <w:rPr>
                      <w:rFonts w:hint="default"/>
                    </w:rPr>
                  </w:pPr>
                </w:p>
              </w:tc>
              <w:tc>
                <w:tcPr>
                  <w:tcW w:w="1087" w:type="dxa"/>
                  <w:vAlign w:val="center"/>
                </w:tcPr>
                <w:p w14:paraId="70C86C0B">
                  <w:pPr>
                    <w:pStyle w:val="24"/>
                    <w:rPr>
                      <w:rFonts w:hint="default"/>
                    </w:rPr>
                  </w:pPr>
                  <w:r>
                    <w:rPr>
                      <w:rFonts w:hint="default"/>
                    </w:rPr>
                    <w:t>机加工</w:t>
                  </w:r>
                </w:p>
              </w:tc>
              <w:tc>
                <w:tcPr>
                  <w:tcW w:w="1087" w:type="dxa"/>
                  <w:vAlign w:val="center"/>
                </w:tcPr>
                <w:p w14:paraId="5C248D21">
                  <w:pPr>
                    <w:pStyle w:val="24"/>
                    <w:rPr>
                      <w:rFonts w:hint="eastAsia"/>
                      <w:lang w:val="en-US" w:eastAsia="zh-CN"/>
                    </w:rPr>
                  </w:pPr>
                  <w:r>
                    <w:rPr>
                      <w:rFonts w:hint="eastAsia"/>
                      <w:lang w:val="en-US" w:eastAsia="zh-CN"/>
                    </w:rPr>
                    <w:t>磨削</w:t>
                  </w:r>
                </w:p>
                <w:p w14:paraId="341769C1">
                  <w:pPr>
                    <w:pStyle w:val="24"/>
                    <w:rPr>
                      <w:rFonts w:hint="default"/>
                    </w:rPr>
                  </w:pPr>
                  <w:r>
                    <w:rPr>
                      <w:rFonts w:hint="eastAsia"/>
                      <w:lang w:val="en-US" w:eastAsia="zh-CN"/>
                    </w:rPr>
                    <w:t>油泥</w:t>
                  </w:r>
                </w:p>
              </w:tc>
              <w:tc>
                <w:tcPr>
                  <w:tcW w:w="943" w:type="dxa"/>
                  <w:vAlign w:val="center"/>
                </w:tcPr>
                <w:p w14:paraId="42916014">
                  <w:pPr>
                    <w:pStyle w:val="24"/>
                    <w:rPr>
                      <w:rFonts w:hint="default"/>
                    </w:rPr>
                  </w:pPr>
                  <w:r>
                    <w:rPr>
                      <w:rFonts w:hint="default"/>
                    </w:rPr>
                    <w:t>危险废物</w:t>
                  </w:r>
                </w:p>
              </w:tc>
              <w:tc>
                <w:tcPr>
                  <w:tcW w:w="1049" w:type="dxa"/>
                  <w:vAlign w:val="center"/>
                </w:tcPr>
                <w:p w14:paraId="4A76CB06">
                  <w:pPr>
                    <w:pStyle w:val="24"/>
                    <w:ind w:left="0" w:leftChars="0" w:right="0" w:rightChars="0" w:firstLine="0" w:firstLineChars="0"/>
                    <w:rPr>
                      <w:rFonts w:hint="eastAsia"/>
                      <w:lang w:eastAsia="zh-CN"/>
                    </w:rPr>
                  </w:pPr>
                  <w:r>
                    <w:rPr>
                      <w:rFonts w:hint="eastAsia"/>
                      <w:lang w:val="en-US" w:eastAsia="zh-CN"/>
                    </w:rPr>
                    <w:t>5</w:t>
                  </w:r>
                </w:p>
              </w:tc>
              <w:tc>
                <w:tcPr>
                  <w:tcW w:w="1175" w:type="dxa"/>
                  <w:vMerge w:val="continue"/>
                  <w:vAlign w:val="center"/>
                </w:tcPr>
                <w:p w14:paraId="5F80735B">
                  <w:pPr>
                    <w:pStyle w:val="24"/>
                    <w:rPr>
                      <w:rFonts w:hint="eastAsia"/>
                      <w:lang w:val="en-US" w:eastAsia="zh-CN"/>
                    </w:rPr>
                  </w:pPr>
                </w:p>
              </w:tc>
              <w:tc>
                <w:tcPr>
                  <w:tcW w:w="1077" w:type="dxa"/>
                  <w:shd w:val="clear" w:color="auto" w:fill="auto"/>
                  <w:vAlign w:val="center"/>
                </w:tcPr>
                <w:p w14:paraId="4D31ED1F">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5</w:t>
                  </w:r>
                </w:p>
              </w:tc>
              <w:tc>
                <w:tcPr>
                  <w:tcW w:w="1194" w:type="dxa"/>
                  <w:vMerge w:val="continue"/>
                  <w:vAlign w:val="center"/>
                </w:tcPr>
                <w:p w14:paraId="3B0B6334">
                  <w:pPr>
                    <w:pStyle w:val="24"/>
                    <w:ind w:firstLine="0" w:firstLineChars="0"/>
                    <w:rPr>
                      <w:rFonts w:hint="default"/>
                    </w:rPr>
                  </w:pPr>
                </w:p>
              </w:tc>
            </w:tr>
            <w:tr w14:paraId="2AD49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1086" w:type="dxa"/>
                  <w:vMerge w:val="continue"/>
                  <w:vAlign w:val="center"/>
                </w:tcPr>
                <w:p w14:paraId="57ECA79C">
                  <w:pPr>
                    <w:pStyle w:val="24"/>
                    <w:rPr>
                      <w:rFonts w:hint="default"/>
                    </w:rPr>
                  </w:pPr>
                </w:p>
              </w:tc>
              <w:tc>
                <w:tcPr>
                  <w:tcW w:w="1087" w:type="dxa"/>
                  <w:vAlign w:val="center"/>
                </w:tcPr>
                <w:p w14:paraId="106B02D9">
                  <w:pPr>
                    <w:pStyle w:val="24"/>
                    <w:rPr>
                      <w:rFonts w:hint="eastAsia"/>
                      <w:lang w:eastAsia="zh-CN"/>
                    </w:rPr>
                  </w:pPr>
                  <w:r>
                    <w:rPr>
                      <w:rFonts w:hint="eastAsia"/>
                      <w:lang w:eastAsia="zh-CN"/>
                    </w:rPr>
                    <w:t>自动车床</w:t>
                  </w:r>
                </w:p>
              </w:tc>
              <w:tc>
                <w:tcPr>
                  <w:tcW w:w="1087" w:type="dxa"/>
                  <w:vAlign w:val="center"/>
                </w:tcPr>
                <w:p w14:paraId="67C16D05">
                  <w:pPr>
                    <w:pStyle w:val="24"/>
                    <w:rPr>
                      <w:rFonts w:hint="eastAsia"/>
                      <w:lang w:eastAsia="zh-CN"/>
                    </w:rPr>
                  </w:pPr>
                  <w:r>
                    <w:rPr>
                      <w:rFonts w:hint="eastAsia"/>
                      <w:lang w:eastAsia="zh-CN"/>
                    </w:rPr>
                    <w:t>废液</w:t>
                  </w:r>
                </w:p>
                <w:p w14:paraId="4784BA53">
                  <w:pPr>
                    <w:pStyle w:val="24"/>
                    <w:rPr>
                      <w:rFonts w:hint="default"/>
                    </w:rPr>
                  </w:pPr>
                  <w:r>
                    <w:rPr>
                      <w:rFonts w:hint="eastAsia"/>
                      <w:lang w:eastAsia="zh-CN"/>
                    </w:rPr>
                    <w:t>压油</w:t>
                  </w:r>
                </w:p>
              </w:tc>
              <w:tc>
                <w:tcPr>
                  <w:tcW w:w="943" w:type="dxa"/>
                  <w:vAlign w:val="center"/>
                </w:tcPr>
                <w:p w14:paraId="27B24EB4">
                  <w:pPr>
                    <w:pStyle w:val="24"/>
                    <w:rPr>
                      <w:rFonts w:hint="default"/>
                    </w:rPr>
                  </w:pPr>
                  <w:r>
                    <w:rPr>
                      <w:rFonts w:hint="default"/>
                    </w:rPr>
                    <w:t>危险废物</w:t>
                  </w:r>
                </w:p>
              </w:tc>
              <w:tc>
                <w:tcPr>
                  <w:tcW w:w="1049" w:type="dxa"/>
                  <w:vAlign w:val="center"/>
                </w:tcPr>
                <w:p w14:paraId="68A52859">
                  <w:pPr>
                    <w:pStyle w:val="24"/>
                    <w:ind w:left="0" w:leftChars="0" w:right="0" w:rightChars="0" w:firstLine="0" w:firstLineChars="0"/>
                    <w:rPr>
                      <w:rFonts w:hint="eastAsia"/>
                      <w:lang w:eastAsia="zh-CN"/>
                    </w:rPr>
                  </w:pPr>
                  <w:r>
                    <w:rPr>
                      <w:rFonts w:hint="eastAsia"/>
                      <w:lang w:val="en-US" w:eastAsia="zh-CN"/>
                    </w:rPr>
                    <w:t>3</w:t>
                  </w:r>
                </w:p>
              </w:tc>
              <w:tc>
                <w:tcPr>
                  <w:tcW w:w="1175" w:type="dxa"/>
                  <w:vMerge w:val="continue"/>
                  <w:vAlign w:val="center"/>
                </w:tcPr>
                <w:p w14:paraId="28F01B6C">
                  <w:pPr>
                    <w:pStyle w:val="24"/>
                    <w:rPr>
                      <w:rFonts w:hint="eastAsia"/>
                      <w:lang w:val="en-US" w:eastAsia="zh-CN"/>
                    </w:rPr>
                  </w:pPr>
                </w:p>
              </w:tc>
              <w:tc>
                <w:tcPr>
                  <w:tcW w:w="1077" w:type="dxa"/>
                  <w:shd w:val="clear" w:color="auto" w:fill="auto"/>
                  <w:vAlign w:val="center"/>
                </w:tcPr>
                <w:p w14:paraId="5FEABE3F">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3</w:t>
                  </w:r>
                </w:p>
              </w:tc>
              <w:tc>
                <w:tcPr>
                  <w:tcW w:w="1194" w:type="dxa"/>
                  <w:vMerge w:val="continue"/>
                  <w:vAlign w:val="center"/>
                </w:tcPr>
                <w:p w14:paraId="1C85B425">
                  <w:pPr>
                    <w:pStyle w:val="24"/>
                    <w:ind w:firstLine="0" w:firstLineChars="0"/>
                    <w:rPr>
                      <w:rFonts w:hint="default"/>
                    </w:rPr>
                  </w:pPr>
                </w:p>
              </w:tc>
            </w:tr>
            <w:tr w14:paraId="5F3EE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1086" w:type="dxa"/>
                  <w:vMerge w:val="continue"/>
                  <w:vAlign w:val="center"/>
                </w:tcPr>
                <w:p w14:paraId="5D5F5428">
                  <w:pPr>
                    <w:pStyle w:val="24"/>
                    <w:rPr>
                      <w:rFonts w:hint="default"/>
                    </w:rPr>
                  </w:pPr>
                </w:p>
              </w:tc>
              <w:tc>
                <w:tcPr>
                  <w:tcW w:w="1087" w:type="dxa"/>
                  <w:vAlign w:val="center"/>
                </w:tcPr>
                <w:p w14:paraId="3C869C44">
                  <w:pPr>
                    <w:pStyle w:val="24"/>
                    <w:rPr>
                      <w:rFonts w:hint="eastAsia"/>
                      <w:lang w:eastAsia="zh-CN"/>
                    </w:rPr>
                  </w:pPr>
                  <w:r>
                    <w:rPr>
                      <w:rFonts w:hint="eastAsia"/>
                      <w:lang w:eastAsia="zh-CN"/>
                    </w:rPr>
                    <w:t>包装</w:t>
                  </w:r>
                </w:p>
              </w:tc>
              <w:tc>
                <w:tcPr>
                  <w:tcW w:w="1087" w:type="dxa"/>
                  <w:vAlign w:val="center"/>
                </w:tcPr>
                <w:p w14:paraId="518514B9">
                  <w:pPr>
                    <w:pStyle w:val="24"/>
                    <w:rPr>
                      <w:rFonts w:hint="default"/>
                    </w:rPr>
                  </w:pPr>
                  <w:r>
                    <w:t>废</w:t>
                  </w:r>
                  <w:r>
                    <w:rPr>
                      <w:rFonts w:hint="eastAsia"/>
                      <w:lang w:eastAsia="zh-CN"/>
                    </w:rPr>
                    <w:t>化学品</w:t>
                  </w:r>
                  <w:r>
                    <w:t>桶</w:t>
                  </w:r>
                </w:p>
              </w:tc>
              <w:tc>
                <w:tcPr>
                  <w:tcW w:w="943" w:type="dxa"/>
                  <w:vAlign w:val="center"/>
                </w:tcPr>
                <w:p w14:paraId="3C2B534C">
                  <w:pPr>
                    <w:pStyle w:val="24"/>
                    <w:rPr>
                      <w:rFonts w:hint="default"/>
                    </w:rPr>
                  </w:pPr>
                  <w:r>
                    <w:rPr>
                      <w:rFonts w:hint="default"/>
                    </w:rPr>
                    <w:t>危险废物</w:t>
                  </w:r>
                </w:p>
              </w:tc>
              <w:tc>
                <w:tcPr>
                  <w:tcW w:w="1049" w:type="dxa"/>
                  <w:vAlign w:val="center"/>
                </w:tcPr>
                <w:p w14:paraId="30B3EC2A">
                  <w:pPr>
                    <w:pStyle w:val="24"/>
                    <w:ind w:left="0" w:leftChars="0" w:right="0" w:rightChars="0" w:firstLine="0" w:firstLineChars="0"/>
                    <w:rPr>
                      <w:rFonts w:hint="eastAsia"/>
                      <w:lang w:eastAsia="zh-CN"/>
                    </w:rPr>
                  </w:pPr>
                  <w:r>
                    <w:rPr>
                      <w:rFonts w:hint="eastAsia"/>
                      <w:lang w:val="en-US" w:eastAsia="zh-CN"/>
                    </w:rPr>
                    <w:t>0.2</w:t>
                  </w:r>
                </w:p>
              </w:tc>
              <w:tc>
                <w:tcPr>
                  <w:tcW w:w="1175" w:type="dxa"/>
                  <w:vMerge w:val="continue"/>
                  <w:vAlign w:val="center"/>
                </w:tcPr>
                <w:p w14:paraId="44328FE6">
                  <w:pPr>
                    <w:pStyle w:val="24"/>
                    <w:rPr>
                      <w:rFonts w:hint="default"/>
                      <w:lang w:val="en-US" w:eastAsia="zh-CN"/>
                    </w:rPr>
                  </w:pPr>
                </w:p>
              </w:tc>
              <w:tc>
                <w:tcPr>
                  <w:tcW w:w="1077" w:type="dxa"/>
                  <w:shd w:val="clear" w:color="auto" w:fill="auto"/>
                  <w:vAlign w:val="center"/>
                </w:tcPr>
                <w:p w14:paraId="52B426AB">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0.2</w:t>
                  </w:r>
                </w:p>
              </w:tc>
              <w:tc>
                <w:tcPr>
                  <w:tcW w:w="1194" w:type="dxa"/>
                  <w:vMerge w:val="continue"/>
                  <w:vAlign w:val="center"/>
                </w:tcPr>
                <w:p w14:paraId="24C177C7">
                  <w:pPr>
                    <w:pStyle w:val="24"/>
                    <w:ind w:firstLine="0" w:firstLineChars="0"/>
                    <w:rPr>
                      <w:rFonts w:hint="default"/>
                    </w:rPr>
                  </w:pPr>
                </w:p>
              </w:tc>
            </w:tr>
            <w:tr w14:paraId="58404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1086" w:type="dxa"/>
                  <w:vMerge w:val="continue"/>
                  <w:vAlign w:val="center"/>
                </w:tcPr>
                <w:p w14:paraId="1157DEC4">
                  <w:pPr>
                    <w:pStyle w:val="24"/>
                    <w:rPr>
                      <w:rFonts w:hint="default"/>
                    </w:rPr>
                  </w:pPr>
                </w:p>
              </w:tc>
              <w:tc>
                <w:tcPr>
                  <w:tcW w:w="1087" w:type="dxa"/>
                  <w:vAlign w:val="center"/>
                </w:tcPr>
                <w:p w14:paraId="77FEA3E4">
                  <w:pPr>
                    <w:pStyle w:val="24"/>
                    <w:rPr>
                      <w:rFonts w:hint="eastAsia"/>
                      <w:lang w:eastAsia="zh-CN"/>
                    </w:rPr>
                  </w:pPr>
                  <w:r>
                    <w:rPr>
                      <w:rFonts w:hint="eastAsia"/>
                      <w:lang w:eastAsia="zh-CN"/>
                    </w:rPr>
                    <w:t>抛光机</w:t>
                  </w:r>
                </w:p>
              </w:tc>
              <w:tc>
                <w:tcPr>
                  <w:tcW w:w="1087" w:type="dxa"/>
                  <w:vAlign w:val="center"/>
                </w:tcPr>
                <w:p w14:paraId="4267383A">
                  <w:pPr>
                    <w:pStyle w:val="24"/>
                    <w:rPr>
                      <w:rFonts w:hint="default"/>
                    </w:rPr>
                  </w:pPr>
                  <w:r>
                    <w:rPr>
                      <w:rFonts w:hint="eastAsia"/>
                      <w:lang w:val="en-US" w:eastAsia="zh-CN"/>
                    </w:rPr>
                    <w:t>废</w:t>
                  </w:r>
                  <w:r>
                    <w:rPr>
                      <w:rFonts w:hint="eastAsia"/>
                    </w:rPr>
                    <w:t>砂轮</w:t>
                  </w:r>
                </w:p>
              </w:tc>
              <w:tc>
                <w:tcPr>
                  <w:tcW w:w="943" w:type="dxa"/>
                  <w:vAlign w:val="center"/>
                </w:tcPr>
                <w:p w14:paraId="3FC6DB1C">
                  <w:pPr>
                    <w:pStyle w:val="24"/>
                    <w:rPr>
                      <w:rFonts w:hint="default"/>
                    </w:rPr>
                  </w:pPr>
                  <w:r>
                    <w:rPr>
                      <w:rFonts w:hint="default"/>
                    </w:rPr>
                    <w:t>一般</w:t>
                  </w:r>
                </w:p>
                <w:p w14:paraId="1FD906C9">
                  <w:pPr>
                    <w:pStyle w:val="24"/>
                    <w:rPr>
                      <w:rFonts w:hint="default"/>
                    </w:rPr>
                  </w:pPr>
                  <w:r>
                    <w:rPr>
                      <w:rFonts w:hint="default"/>
                    </w:rPr>
                    <w:t>固废</w:t>
                  </w:r>
                </w:p>
              </w:tc>
              <w:tc>
                <w:tcPr>
                  <w:tcW w:w="1049" w:type="dxa"/>
                  <w:vAlign w:val="center"/>
                </w:tcPr>
                <w:p w14:paraId="7D82EC3A">
                  <w:pPr>
                    <w:pStyle w:val="24"/>
                    <w:ind w:left="0" w:leftChars="0" w:right="0" w:rightChars="0" w:firstLine="0" w:firstLineChars="0"/>
                    <w:rPr>
                      <w:rFonts w:hint="eastAsia"/>
                      <w:lang w:eastAsia="zh-CN"/>
                    </w:rPr>
                  </w:pPr>
                  <w:r>
                    <w:rPr>
                      <w:rFonts w:hint="eastAsia"/>
                      <w:lang w:val="en-US" w:eastAsia="zh-CN"/>
                    </w:rPr>
                    <w:t>0.24</w:t>
                  </w:r>
                </w:p>
              </w:tc>
              <w:tc>
                <w:tcPr>
                  <w:tcW w:w="1175" w:type="dxa"/>
                  <w:vMerge w:val="restart"/>
                  <w:shd w:val="clear" w:color="auto" w:fill="auto"/>
                  <w:vAlign w:val="center"/>
                </w:tcPr>
                <w:p w14:paraId="6684E576">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rPr>
                    <w:t>暂存在一般固废区，定期外售综合利用</w:t>
                  </w:r>
                </w:p>
              </w:tc>
              <w:tc>
                <w:tcPr>
                  <w:tcW w:w="1077" w:type="dxa"/>
                  <w:shd w:val="clear" w:color="auto" w:fill="auto"/>
                  <w:vAlign w:val="center"/>
                </w:tcPr>
                <w:p w14:paraId="7031D7FE">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0.24</w:t>
                  </w:r>
                </w:p>
              </w:tc>
              <w:tc>
                <w:tcPr>
                  <w:tcW w:w="1194" w:type="dxa"/>
                  <w:vMerge w:val="restart"/>
                  <w:vAlign w:val="center"/>
                </w:tcPr>
                <w:p w14:paraId="1706E294">
                  <w:pPr>
                    <w:pStyle w:val="24"/>
                    <w:rPr>
                      <w:rFonts w:hint="default"/>
                      <w:lang w:val="en-US" w:eastAsia="zh-CN"/>
                    </w:rPr>
                  </w:pPr>
                  <w:r>
                    <w:rPr>
                      <w:rFonts w:hint="default"/>
                    </w:rPr>
                    <w:t>暂存在一般固废区，定期外售综合利用</w:t>
                  </w:r>
                </w:p>
              </w:tc>
            </w:tr>
            <w:tr w14:paraId="63C58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1086" w:type="dxa"/>
                  <w:vMerge w:val="restart"/>
                  <w:vAlign w:val="center"/>
                </w:tcPr>
                <w:p w14:paraId="0ACE13F6">
                  <w:pPr>
                    <w:pStyle w:val="24"/>
                    <w:rPr>
                      <w:rFonts w:hint="default"/>
                    </w:rPr>
                  </w:pPr>
                  <w:r>
                    <w:rPr>
                      <w:rFonts w:hint="default"/>
                    </w:rPr>
                    <w:t>废气</w:t>
                  </w:r>
                </w:p>
                <w:p w14:paraId="5C4C8C44">
                  <w:pPr>
                    <w:pStyle w:val="24"/>
                    <w:rPr>
                      <w:rFonts w:hint="default"/>
                    </w:rPr>
                  </w:pPr>
                  <w:r>
                    <w:rPr>
                      <w:rFonts w:hint="default"/>
                    </w:rPr>
                    <w:t>处理</w:t>
                  </w:r>
                </w:p>
              </w:tc>
              <w:tc>
                <w:tcPr>
                  <w:tcW w:w="1087" w:type="dxa"/>
                  <w:vAlign w:val="center"/>
                </w:tcPr>
                <w:p w14:paraId="5ADC8DE0">
                  <w:pPr>
                    <w:pStyle w:val="24"/>
                    <w:rPr>
                      <w:rFonts w:hint="eastAsia"/>
                      <w:lang w:eastAsia="zh-CN"/>
                    </w:rPr>
                  </w:pPr>
                  <w:r>
                    <w:rPr>
                      <w:rFonts w:hint="eastAsia"/>
                      <w:lang w:eastAsia="zh-CN"/>
                    </w:rPr>
                    <w:t>袋式吸尘器</w:t>
                  </w:r>
                </w:p>
              </w:tc>
              <w:tc>
                <w:tcPr>
                  <w:tcW w:w="1087" w:type="dxa"/>
                  <w:vAlign w:val="center"/>
                </w:tcPr>
                <w:p w14:paraId="3CE2F514">
                  <w:pPr>
                    <w:pStyle w:val="24"/>
                    <w:rPr>
                      <w:rFonts w:hint="default"/>
                    </w:rPr>
                  </w:pPr>
                  <w:r>
                    <w:rPr>
                      <w:rFonts w:hint="default"/>
                    </w:rPr>
                    <w:t>收集的粉尘</w:t>
                  </w:r>
                </w:p>
              </w:tc>
              <w:tc>
                <w:tcPr>
                  <w:tcW w:w="943" w:type="dxa"/>
                  <w:vAlign w:val="center"/>
                </w:tcPr>
                <w:p w14:paraId="2C34B1AD">
                  <w:pPr>
                    <w:pStyle w:val="24"/>
                    <w:rPr>
                      <w:rFonts w:hint="default"/>
                    </w:rPr>
                  </w:pPr>
                  <w:r>
                    <w:rPr>
                      <w:rFonts w:hint="default"/>
                    </w:rPr>
                    <w:t>一般</w:t>
                  </w:r>
                </w:p>
                <w:p w14:paraId="28B9B155">
                  <w:pPr>
                    <w:pStyle w:val="24"/>
                    <w:rPr>
                      <w:rFonts w:hint="default"/>
                    </w:rPr>
                  </w:pPr>
                  <w:r>
                    <w:rPr>
                      <w:rFonts w:hint="default"/>
                    </w:rPr>
                    <w:t>固废</w:t>
                  </w:r>
                </w:p>
              </w:tc>
              <w:tc>
                <w:tcPr>
                  <w:tcW w:w="1049" w:type="dxa"/>
                  <w:vAlign w:val="center"/>
                </w:tcPr>
                <w:p w14:paraId="4A1ACD0C">
                  <w:pPr>
                    <w:pStyle w:val="24"/>
                    <w:ind w:left="0" w:leftChars="0" w:right="0" w:rightChars="0" w:firstLine="0" w:firstLineChars="0"/>
                    <w:rPr>
                      <w:rFonts w:hint="eastAsia"/>
                      <w:lang w:eastAsia="zh-CN"/>
                    </w:rPr>
                  </w:pPr>
                  <w:r>
                    <w:rPr>
                      <w:rFonts w:hint="eastAsia"/>
                      <w:lang w:val="en-US" w:eastAsia="zh-CN"/>
                    </w:rPr>
                    <w:t>1.11</w:t>
                  </w:r>
                </w:p>
              </w:tc>
              <w:tc>
                <w:tcPr>
                  <w:tcW w:w="1175" w:type="dxa"/>
                  <w:vMerge w:val="continue"/>
                  <w:vAlign w:val="center"/>
                </w:tcPr>
                <w:p w14:paraId="167EC534">
                  <w:pPr>
                    <w:pStyle w:val="24"/>
                    <w:rPr>
                      <w:rFonts w:hint="default"/>
                      <w:lang w:val="en-US" w:eastAsia="zh-CN"/>
                    </w:rPr>
                  </w:pPr>
                </w:p>
              </w:tc>
              <w:tc>
                <w:tcPr>
                  <w:tcW w:w="1077" w:type="dxa"/>
                  <w:shd w:val="clear" w:color="auto" w:fill="auto"/>
                  <w:vAlign w:val="center"/>
                </w:tcPr>
                <w:p w14:paraId="08BA028D">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1.11</w:t>
                  </w:r>
                </w:p>
              </w:tc>
              <w:tc>
                <w:tcPr>
                  <w:tcW w:w="1194" w:type="dxa"/>
                  <w:vMerge w:val="continue"/>
                  <w:vAlign w:val="center"/>
                </w:tcPr>
                <w:p w14:paraId="27E2687E">
                  <w:pPr>
                    <w:pStyle w:val="24"/>
                    <w:rPr>
                      <w:rFonts w:hint="default"/>
                      <w:lang w:val="en-US" w:eastAsia="zh-CN"/>
                    </w:rPr>
                  </w:pPr>
                </w:p>
              </w:tc>
            </w:tr>
            <w:tr w14:paraId="4C4CF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1086" w:type="dxa"/>
                  <w:vMerge w:val="continue"/>
                  <w:vAlign w:val="center"/>
                </w:tcPr>
                <w:p w14:paraId="38148824">
                  <w:pPr>
                    <w:pStyle w:val="24"/>
                    <w:rPr>
                      <w:rFonts w:hint="default"/>
                    </w:rPr>
                  </w:pPr>
                </w:p>
              </w:tc>
              <w:tc>
                <w:tcPr>
                  <w:tcW w:w="1087" w:type="dxa"/>
                  <w:vAlign w:val="center"/>
                </w:tcPr>
                <w:p w14:paraId="46FB19A8">
                  <w:pPr>
                    <w:pStyle w:val="24"/>
                    <w:rPr>
                      <w:rFonts w:hint="eastAsia"/>
                      <w:lang w:eastAsia="zh-CN"/>
                    </w:rPr>
                  </w:pPr>
                  <w:r>
                    <w:rPr>
                      <w:rFonts w:hint="eastAsia"/>
                      <w:lang w:val="en-US" w:eastAsia="zh-CN"/>
                    </w:rPr>
                    <w:t>油雾净化器</w:t>
                  </w:r>
                </w:p>
              </w:tc>
              <w:tc>
                <w:tcPr>
                  <w:tcW w:w="1087" w:type="dxa"/>
                  <w:vAlign w:val="center"/>
                </w:tcPr>
                <w:p w14:paraId="21972899">
                  <w:pPr>
                    <w:pStyle w:val="24"/>
                    <w:rPr>
                      <w:rFonts w:hint="eastAsia"/>
                      <w:lang w:eastAsia="zh-CN"/>
                    </w:rPr>
                  </w:pPr>
                  <w:r>
                    <w:rPr>
                      <w:rFonts w:hint="eastAsia"/>
                      <w:lang w:val="en-US" w:eastAsia="zh-CN"/>
                    </w:rPr>
                    <w:t>油雾净化器收集的</w:t>
                  </w:r>
                  <w:r>
                    <w:rPr>
                      <w:rFonts w:hint="eastAsia"/>
                      <w:lang w:eastAsia="zh-CN"/>
                    </w:rPr>
                    <w:t>废油</w:t>
                  </w:r>
                </w:p>
              </w:tc>
              <w:tc>
                <w:tcPr>
                  <w:tcW w:w="943" w:type="dxa"/>
                  <w:vAlign w:val="center"/>
                </w:tcPr>
                <w:p w14:paraId="498E8DDC">
                  <w:pPr>
                    <w:pStyle w:val="24"/>
                    <w:ind w:firstLine="0" w:firstLineChars="0"/>
                    <w:rPr>
                      <w:rFonts w:hint="default"/>
                    </w:rPr>
                  </w:pPr>
                  <w:r>
                    <w:rPr>
                      <w:rFonts w:hint="default"/>
                    </w:rPr>
                    <w:t>危险</w:t>
                  </w:r>
                </w:p>
                <w:p w14:paraId="15CC50EC">
                  <w:pPr>
                    <w:pStyle w:val="24"/>
                    <w:ind w:firstLine="0" w:firstLineChars="0"/>
                    <w:rPr>
                      <w:rFonts w:hint="default"/>
                      <w:lang w:val="en-US" w:eastAsia="zh-CN"/>
                    </w:rPr>
                  </w:pPr>
                  <w:r>
                    <w:rPr>
                      <w:rFonts w:hint="default"/>
                    </w:rPr>
                    <w:t>废物</w:t>
                  </w:r>
                </w:p>
              </w:tc>
              <w:tc>
                <w:tcPr>
                  <w:tcW w:w="1049" w:type="dxa"/>
                  <w:vAlign w:val="center"/>
                </w:tcPr>
                <w:p w14:paraId="198783AA">
                  <w:pPr>
                    <w:pStyle w:val="24"/>
                    <w:ind w:left="0" w:leftChars="0" w:right="0" w:rightChars="0" w:firstLine="0" w:firstLineChars="0"/>
                    <w:rPr>
                      <w:rFonts w:hint="eastAsia"/>
                      <w:lang w:val="en-US" w:eastAsia="zh-CN"/>
                    </w:rPr>
                  </w:pPr>
                  <w:r>
                    <w:rPr>
                      <w:rFonts w:hint="eastAsia"/>
                      <w:lang w:val="en-US" w:eastAsia="zh-CN"/>
                    </w:rPr>
                    <w:t>0.0442</w:t>
                  </w:r>
                </w:p>
              </w:tc>
              <w:tc>
                <w:tcPr>
                  <w:tcW w:w="1175" w:type="dxa"/>
                  <w:vMerge w:val="restart"/>
                  <w:shd w:val="clear" w:color="auto" w:fill="auto"/>
                  <w:vAlign w:val="center"/>
                </w:tcPr>
                <w:p w14:paraId="2E1C8753">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rPr>
                    <w:t>暂存在危废库内，单独隔离存放，定期交由有资质单位处理</w:t>
                  </w:r>
                </w:p>
              </w:tc>
              <w:tc>
                <w:tcPr>
                  <w:tcW w:w="1077" w:type="dxa"/>
                  <w:shd w:val="clear" w:color="auto" w:fill="auto"/>
                  <w:vAlign w:val="center"/>
                </w:tcPr>
                <w:p w14:paraId="621C120D">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0.0442</w:t>
                  </w:r>
                </w:p>
              </w:tc>
              <w:tc>
                <w:tcPr>
                  <w:tcW w:w="1194" w:type="dxa"/>
                  <w:vMerge w:val="restart"/>
                  <w:vAlign w:val="center"/>
                </w:tcPr>
                <w:p w14:paraId="347C563A">
                  <w:pPr>
                    <w:pStyle w:val="24"/>
                    <w:rPr>
                      <w:rFonts w:hint="default"/>
                      <w:lang w:val="en-US" w:eastAsia="zh-CN"/>
                    </w:rPr>
                  </w:pPr>
                  <w:r>
                    <w:rPr>
                      <w:rFonts w:hint="eastAsia"/>
                      <w:lang w:val="en-US" w:eastAsia="zh-CN"/>
                    </w:rPr>
                    <w:t>委托</w:t>
                  </w:r>
                  <w:r>
                    <w:rPr>
                      <w:rFonts w:hint="default"/>
                    </w:rPr>
                    <w:t>安徽省爱维斯环保科技有限公司</w:t>
                  </w:r>
                  <w:r>
                    <w:rPr>
                      <w:rFonts w:hint="eastAsia"/>
                      <w:lang w:val="en-US" w:eastAsia="zh-CN"/>
                    </w:rPr>
                    <w:t>处理</w:t>
                  </w:r>
                </w:p>
              </w:tc>
            </w:tr>
            <w:tr w14:paraId="71707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1086" w:type="dxa"/>
                  <w:vMerge w:val="restart"/>
                  <w:vAlign w:val="center"/>
                </w:tcPr>
                <w:p w14:paraId="45E8C9F0">
                  <w:pPr>
                    <w:pStyle w:val="24"/>
                    <w:rPr>
                      <w:rFonts w:hint="eastAsia"/>
                      <w:lang w:eastAsia="zh-CN"/>
                    </w:rPr>
                  </w:pPr>
                  <w:r>
                    <w:rPr>
                      <w:rFonts w:hint="eastAsia"/>
                      <w:lang w:eastAsia="zh-CN"/>
                    </w:rPr>
                    <w:t>废水</w:t>
                  </w:r>
                </w:p>
                <w:p w14:paraId="069955CA">
                  <w:pPr>
                    <w:pStyle w:val="24"/>
                    <w:rPr>
                      <w:rFonts w:hint="eastAsia"/>
                      <w:lang w:eastAsia="zh-CN"/>
                    </w:rPr>
                  </w:pPr>
                  <w:r>
                    <w:rPr>
                      <w:rFonts w:hint="eastAsia"/>
                      <w:lang w:eastAsia="zh-CN"/>
                    </w:rPr>
                    <w:t>处理</w:t>
                  </w:r>
                </w:p>
              </w:tc>
              <w:tc>
                <w:tcPr>
                  <w:tcW w:w="1087" w:type="dxa"/>
                  <w:vAlign w:val="center"/>
                </w:tcPr>
                <w:p w14:paraId="1294A17C">
                  <w:pPr>
                    <w:pStyle w:val="24"/>
                    <w:rPr>
                      <w:rFonts w:hint="default"/>
                      <w:lang w:val="en-US" w:eastAsia="zh-CN"/>
                    </w:rPr>
                  </w:pPr>
                  <w:r>
                    <w:rPr>
                      <w:rFonts w:hint="eastAsia"/>
                      <w:lang w:val="en-US" w:eastAsia="zh-CN"/>
                    </w:rPr>
                    <w:t>/</w:t>
                  </w:r>
                </w:p>
              </w:tc>
              <w:tc>
                <w:tcPr>
                  <w:tcW w:w="1087" w:type="dxa"/>
                  <w:vAlign w:val="center"/>
                </w:tcPr>
                <w:p w14:paraId="185E6203">
                  <w:pPr>
                    <w:pStyle w:val="24"/>
                    <w:ind w:firstLine="0" w:firstLineChars="0"/>
                    <w:rPr>
                      <w:rFonts w:hint="eastAsia"/>
                      <w:lang w:val="en-US" w:eastAsia="zh-CN"/>
                    </w:rPr>
                  </w:pPr>
                  <w:r>
                    <w:rPr>
                      <w:rFonts w:hint="eastAsia"/>
                      <w:lang w:val="en-US" w:eastAsia="zh-CN"/>
                    </w:rPr>
                    <w:t>含油污泥</w:t>
                  </w:r>
                </w:p>
              </w:tc>
              <w:tc>
                <w:tcPr>
                  <w:tcW w:w="943" w:type="dxa"/>
                  <w:vAlign w:val="center"/>
                </w:tcPr>
                <w:p w14:paraId="09463D36">
                  <w:pPr>
                    <w:pStyle w:val="24"/>
                    <w:ind w:firstLine="0" w:firstLineChars="0"/>
                    <w:rPr>
                      <w:rFonts w:hint="default"/>
                    </w:rPr>
                  </w:pPr>
                  <w:r>
                    <w:rPr>
                      <w:rFonts w:hint="default"/>
                    </w:rPr>
                    <w:t>危险</w:t>
                  </w:r>
                </w:p>
                <w:p w14:paraId="50117C46">
                  <w:pPr>
                    <w:pStyle w:val="24"/>
                    <w:ind w:firstLine="0" w:firstLineChars="0"/>
                    <w:rPr>
                      <w:rFonts w:hint="default"/>
                    </w:rPr>
                  </w:pPr>
                  <w:r>
                    <w:rPr>
                      <w:rFonts w:hint="default"/>
                    </w:rPr>
                    <w:t>废物</w:t>
                  </w:r>
                </w:p>
              </w:tc>
              <w:tc>
                <w:tcPr>
                  <w:tcW w:w="1049" w:type="dxa"/>
                  <w:vAlign w:val="center"/>
                </w:tcPr>
                <w:p w14:paraId="7CAAA5B4">
                  <w:pPr>
                    <w:pStyle w:val="24"/>
                    <w:ind w:left="0" w:leftChars="0" w:right="0" w:rightChars="0" w:firstLine="0" w:firstLineChars="0"/>
                    <w:rPr>
                      <w:rFonts w:hint="eastAsia"/>
                      <w:lang w:eastAsia="zh-CN"/>
                    </w:rPr>
                  </w:pPr>
                  <w:r>
                    <w:rPr>
                      <w:rFonts w:hint="eastAsia"/>
                      <w:lang w:val="en-US" w:eastAsia="zh-CN"/>
                    </w:rPr>
                    <w:t>0.3</w:t>
                  </w:r>
                </w:p>
              </w:tc>
              <w:tc>
                <w:tcPr>
                  <w:tcW w:w="1175" w:type="dxa"/>
                  <w:vMerge w:val="continue"/>
                  <w:vAlign w:val="center"/>
                </w:tcPr>
                <w:p w14:paraId="12D27275">
                  <w:pPr>
                    <w:pStyle w:val="24"/>
                    <w:rPr>
                      <w:rFonts w:hint="default"/>
                      <w:lang w:val="en-US" w:eastAsia="zh-CN"/>
                    </w:rPr>
                  </w:pPr>
                </w:p>
              </w:tc>
              <w:tc>
                <w:tcPr>
                  <w:tcW w:w="1077" w:type="dxa"/>
                  <w:shd w:val="clear" w:color="auto" w:fill="auto"/>
                  <w:vAlign w:val="center"/>
                </w:tcPr>
                <w:p w14:paraId="2C70CD5A">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0.3</w:t>
                  </w:r>
                </w:p>
              </w:tc>
              <w:tc>
                <w:tcPr>
                  <w:tcW w:w="1194" w:type="dxa"/>
                  <w:vMerge w:val="continue"/>
                  <w:vAlign w:val="center"/>
                </w:tcPr>
                <w:p w14:paraId="7F259E98">
                  <w:pPr>
                    <w:pStyle w:val="24"/>
                    <w:ind w:firstLine="0" w:firstLineChars="0"/>
                    <w:rPr>
                      <w:rFonts w:hint="eastAsia"/>
                      <w:lang w:val="en-US" w:eastAsia="zh-CN"/>
                    </w:rPr>
                  </w:pPr>
                </w:p>
              </w:tc>
            </w:tr>
            <w:tr w14:paraId="50EEF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4" w:hRule="atLeast"/>
              </w:trPr>
              <w:tc>
                <w:tcPr>
                  <w:tcW w:w="1086" w:type="dxa"/>
                  <w:vMerge w:val="continue"/>
                  <w:vAlign w:val="center"/>
                </w:tcPr>
                <w:p w14:paraId="281E3125">
                  <w:pPr>
                    <w:pStyle w:val="24"/>
                    <w:rPr>
                      <w:rFonts w:hint="eastAsia"/>
                      <w:lang w:eastAsia="zh-CN"/>
                    </w:rPr>
                  </w:pPr>
                </w:p>
              </w:tc>
              <w:tc>
                <w:tcPr>
                  <w:tcW w:w="1087" w:type="dxa"/>
                  <w:vAlign w:val="center"/>
                </w:tcPr>
                <w:p w14:paraId="22334CDB">
                  <w:pPr>
                    <w:pStyle w:val="24"/>
                    <w:rPr>
                      <w:rFonts w:hint="default"/>
                      <w:lang w:val="en-US" w:eastAsia="zh-CN"/>
                    </w:rPr>
                  </w:pPr>
                  <w:r>
                    <w:rPr>
                      <w:rFonts w:hint="eastAsia"/>
                      <w:lang w:val="en-US" w:eastAsia="zh-CN"/>
                    </w:rPr>
                    <w:t>/</w:t>
                  </w:r>
                </w:p>
              </w:tc>
              <w:tc>
                <w:tcPr>
                  <w:tcW w:w="1087" w:type="dxa"/>
                  <w:vAlign w:val="center"/>
                </w:tcPr>
                <w:p w14:paraId="7BB40A81">
                  <w:pPr>
                    <w:pStyle w:val="24"/>
                    <w:ind w:firstLine="0" w:firstLineChars="0"/>
                    <w:rPr>
                      <w:rFonts w:hint="eastAsia"/>
                      <w:lang w:val="en-US" w:eastAsia="zh-CN"/>
                    </w:rPr>
                  </w:pPr>
                  <w:r>
                    <w:rPr>
                      <w:rFonts w:hint="eastAsia"/>
                      <w:lang w:val="en-US" w:eastAsia="zh-CN"/>
                    </w:rPr>
                    <w:t>生化</w:t>
                  </w:r>
                </w:p>
                <w:p w14:paraId="20E6A647">
                  <w:pPr>
                    <w:pStyle w:val="24"/>
                    <w:ind w:firstLine="0" w:firstLineChars="0"/>
                    <w:rPr>
                      <w:rFonts w:hint="eastAsia"/>
                      <w:lang w:val="en-US" w:eastAsia="zh-CN"/>
                    </w:rPr>
                  </w:pPr>
                  <w:r>
                    <w:rPr>
                      <w:rFonts w:hint="eastAsia"/>
                      <w:lang w:val="en-US" w:eastAsia="zh-CN"/>
                    </w:rPr>
                    <w:t>污泥</w:t>
                  </w:r>
                </w:p>
              </w:tc>
              <w:tc>
                <w:tcPr>
                  <w:tcW w:w="943" w:type="dxa"/>
                  <w:vAlign w:val="center"/>
                </w:tcPr>
                <w:p w14:paraId="240BEAD3">
                  <w:pPr>
                    <w:pStyle w:val="24"/>
                    <w:ind w:firstLine="0" w:firstLineChars="0"/>
                    <w:rPr>
                      <w:rFonts w:hint="default"/>
                    </w:rPr>
                  </w:pPr>
                  <w:r>
                    <w:rPr>
                      <w:rFonts w:hint="default"/>
                    </w:rPr>
                    <w:t>一般</w:t>
                  </w:r>
                </w:p>
                <w:p w14:paraId="48C20452">
                  <w:pPr>
                    <w:pStyle w:val="24"/>
                    <w:ind w:firstLine="0" w:firstLineChars="0"/>
                    <w:rPr>
                      <w:rFonts w:hint="default"/>
                    </w:rPr>
                  </w:pPr>
                  <w:r>
                    <w:rPr>
                      <w:rFonts w:hint="default"/>
                    </w:rPr>
                    <w:t>固废</w:t>
                  </w:r>
                </w:p>
              </w:tc>
              <w:tc>
                <w:tcPr>
                  <w:tcW w:w="1049" w:type="dxa"/>
                  <w:vAlign w:val="center"/>
                </w:tcPr>
                <w:p w14:paraId="3F86225B">
                  <w:pPr>
                    <w:pStyle w:val="24"/>
                    <w:ind w:left="0" w:leftChars="0" w:right="0" w:rightChars="0" w:firstLine="0" w:firstLineChars="0"/>
                    <w:rPr>
                      <w:rFonts w:hint="eastAsia"/>
                      <w:lang w:eastAsia="zh-CN"/>
                    </w:rPr>
                  </w:pPr>
                  <w:r>
                    <w:rPr>
                      <w:rFonts w:hint="eastAsia"/>
                      <w:lang w:val="en-US" w:eastAsia="zh-CN"/>
                    </w:rPr>
                    <w:t>0.05</w:t>
                  </w:r>
                </w:p>
              </w:tc>
              <w:tc>
                <w:tcPr>
                  <w:tcW w:w="1175" w:type="dxa"/>
                  <w:shd w:val="clear" w:color="auto" w:fill="auto"/>
                  <w:vAlign w:val="center"/>
                </w:tcPr>
                <w:p w14:paraId="3EDCB725">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rPr>
                    <w:t>暂存在一般固废区，定期外售综合利用</w:t>
                  </w:r>
                </w:p>
              </w:tc>
              <w:tc>
                <w:tcPr>
                  <w:tcW w:w="1077" w:type="dxa"/>
                  <w:shd w:val="clear" w:color="auto" w:fill="auto"/>
                  <w:vAlign w:val="center"/>
                </w:tcPr>
                <w:p w14:paraId="5E649462">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0.05</w:t>
                  </w:r>
                </w:p>
              </w:tc>
              <w:tc>
                <w:tcPr>
                  <w:tcW w:w="1194" w:type="dxa"/>
                  <w:shd w:val="clear" w:color="auto" w:fill="auto"/>
                  <w:vAlign w:val="center"/>
                </w:tcPr>
                <w:p w14:paraId="097C4221">
                  <w:pPr>
                    <w:pStyle w:val="24"/>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default"/>
                    </w:rPr>
                    <w:t>暂存在一般固废区，定期外售综合利用</w:t>
                  </w:r>
                </w:p>
              </w:tc>
            </w:tr>
            <w:tr w14:paraId="07421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86" w:type="dxa"/>
                  <w:vAlign w:val="center"/>
                </w:tcPr>
                <w:p w14:paraId="799040B5">
                  <w:pPr>
                    <w:pStyle w:val="24"/>
                    <w:rPr>
                      <w:rFonts w:hint="default"/>
                    </w:rPr>
                  </w:pPr>
                  <w:r>
                    <w:rPr>
                      <w:rFonts w:hint="default"/>
                    </w:rPr>
                    <w:t>职工</w:t>
                  </w:r>
                </w:p>
                <w:p w14:paraId="63DBDFB9">
                  <w:pPr>
                    <w:pStyle w:val="24"/>
                    <w:rPr>
                      <w:rFonts w:hint="default"/>
                    </w:rPr>
                  </w:pPr>
                  <w:r>
                    <w:rPr>
                      <w:rFonts w:hint="default"/>
                    </w:rPr>
                    <w:t>生活</w:t>
                  </w:r>
                </w:p>
              </w:tc>
              <w:tc>
                <w:tcPr>
                  <w:tcW w:w="1087" w:type="dxa"/>
                  <w:vAlign w:val="center"/>
                </w:tcPr>
                <w:p w14:paraId="1B1E55E4">
                  <w:pPr>
                    <w:pStyle w:val="24"/>
                    <w:rPr>
                      <w:rFonts w:hint="default"/>
                    </w:rPr>
                  </w:pPr>
                  <w:r>
                    <w:rPr>
                      <w:rFonts w:hint="default"/>
                    </w:rPr>
                    <w:t>/</w:t>
                  </w:r>
                </w:p>
              </w:tc>
              <w:tc>
                <w:tcPr>
                  <w:tcW w:w="1087" w:type="dxa"/>
                  <w:vAlign w:val="center"/>
                </w:tcPr>
                <w:p w14:paraId="7A80FDDD">
                  <w:pPr>
                    <w:pStyle w:val="24"/>
                    <w:rPr>
                      <w:rFonts w:hint="default"/>
                    </w:rPr>
                  </w:pPr>
                  <w:r>
                    <w:rPr>
                      <w:rFonts w:hint="default"/>
                    </w:rPr>
                    <w:t>生活</w:t>
                  </w:r>
                </w:p>
                <w:p w14:paraId="503D07E4">
                  <w:pPr>
                    <w:pStyle w:val="24"/>
                    <w:rPr>
                      <w:rFonts w:hint="default"/>
                    </w:rPr>
                  </w:pPr>
                  <w:r>
                    <w:rPr>
                      <w:rFonts w:hint="default"/>
                    </w:rPr>
                    <w:t>垃圾</w:t>
                  </w:r>
                </w:p>
              </w:tc>
              <w:tc>
                <w:tcPr>
                  <w:tcW w:w="943" w:type="dxa"/>
                  <w:vAlign w:val="center"/>
                </w:tcPr>
                <w:p w14:paraId="3475B63F">
                  <w:pPr>
                    <w:pStyle w:val="24"/>
                    <w:rPr>
                      <w:rFonts w:hint="default"/>
                    </w:rPr>
                  </w:pPr>
                  <w:r>
                    <w:rPr>
                      <w:rFonts w:hint="default"/>
                    </w:rPr>
                    <w:t>一般</w:t>
                  </w:r>
                </w:p>
                <w:p w14:paraId="5219A29F">
                  <w:pPr>
                    <w:pStyle w:val="24"/>
                    <w:rPr>
                      <w:rFonts w:hint="default"/>
                    </w:rPr>
                  </w:pPr>
                  <w:r>
                    <w:rPr>
                      <w:rFonts w:hint="default"/>
                    </w:rPr>
                    <w:t>固废</w:t>
                  </w:r>
                </w:p>
              </w:tc>
              <w:tc>
                <w:tcPr>
                  <w:tcW w:w="1049" w:type="dxa"/>
                  <w:vAlign w:val="center"/>
                </w:tcPr>
                <w:p w14:paraId="0832F741">
                  <w:pPr>
                    <w:pStyle w:val="24"/>
                    <w:ind w:left="0" w:leftChars="0" w:right="0" w:rightChars="0" w:firstLine="0" w:firstLineChars="0"/>
                    <w:rPr>
                      <w:rFonts w:hint="eastAsia"/>
                      <w:lang w:eastAsia="zh-CN"/>
                    </w:rPr>
                  </w:pPr>
                  <w:r>
                    <w:rPr>
                      <w:rFonts w:hint="eastAsia"/>
                      <w:lang w:val="en-US" w:eastAsia="zh-CN"/>
                    </w:rPr>
                    <w:t>2.1</w:t>
                  </w:r>
                </w:p>
              </w:tc>
              <w:tc>
                <w:tcPr>
                  <w:tcW w:w="1175" w:type="dxa"/>
                  <w:shd w:val="clear" w:color="auto" w:fill="auto"/>
                  <w:vAlign w:val="center"/>
                </w:tcPr>
                <w:p w14:paraId="079670EA">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rPr>
                    <w:t>定期交由环卫部门处理</w:t>
                  </w:r>
                </w:p>
              </w:tc>
              <w:tc>
                <w:tcPr>
                  <w:tcW w:w="1077" w:type="dxa"/>
                  <w:shd w:val="clear" w:color="auto" w:fill="auto"/>
                  <w:vAlign w:val="center"/>
                </w:tcPr>
                <w:p w14:paraId="26331343">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2.1</w:t>
                  </w:r>
                </w:p>
              </w:tc>
              <w:tc>
                <w:tcPr>
                  <w:tcW w:w="1194" w:type="dxa"/>
                  <w:shd w:val="clear" w:color="auto" w:fill="auto"/>
                  <w:vAlign w:val="center"/>
                </w:tcPr>
                <w:p w14:paraId="0CD95EB4">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rPr>
                    <w:t>定期交由环卫部门处理</w:t>
                  </w:r>
                </w:p>
              </w:tc>
            </w:tr>
          </w:tbl>
          <w:p w14:paraId="13F7DEEB">
            <w:pPr>
              <w:pStyle w:val="10"/>
              <w:ind w:left="0" w:leftChars="0" w:firstLine="0" w:firstLineChars="0"/>
              <w:rPr>
                <w:rFonts w:hint="eastAsia" w:ascii="宋体" w:hAnsi="宋体" w:eastAsia="宋体" w:cs="宋体"/>
                <w:b/>
                <w:bCs/>
                <w:snapToGrid/>
                <w:kern w:val="2"/>
                <w:sz w:val="24"/>
                <w:szCs w:val="24"/>
                <w:lang w:val="en-US" w:eastAsia="zh-CN" w:bidi="ar"/>
              </w:rPr>
            </w:pPr>
          </w:p>
          <w:p w14:paraId="62B8111E">
            <w:pPr>
              <w:pStyle w:val="25"/>
              <w:keepNext w:val="0"/>
              <w:keepLines w:val="0"/>
              <w:suppressLineNumbers w:val="0"/>
              <w:bidi w:val="0"/>
              <w:spacing w:before="0" w:beforeAutospacing="0" w:after="0" w:afterAutospacing="0"/>
              <w:ind w:left="0" w:right="0"/>
              <w:rPr>
                <w:rFonts w:hint="eastAsia"/>
                <w:lang w:val="en-US"/>
              </w:rPr>
            </w:pPr>
            <w:r>
              <w:rPr>
                <w:rFonts w:hint="eastAsia"/>
                <w:lang w:val="en-US" w:eastAsia="zh-CN"/>
              </w:rPr>
              <w:t>表3-5</w:t>
            </w:r>
            <w:r>
              <w:rPr>
                <w:rFonts w:hint="default"/>
                <w:lang w:val="en-US" w:eastAsia="zh-CN"/>
              </w:rPr>
              <w:t xml:space="preserve"> </w:t>
            </w:r>
            <w:r>
              <w:rPr>
                <w:rFonts w:hint="eastAsia"/>
                <w:lang w:val="en-US" w:eastAsia="zh-CN"/>
              </w:rPr>
              <w:t>本次验收项目危险废物产生情况一览表</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95"/>
              <w:gridCol w:w="717"/>
              <w:gridCol w:w="705"/>
              <w:gridCol w:w="672"/>
              <w:gridCol w:w="420"/>
              <w:gridCol w:w="816"/>
              <w:gridCol w:w="1248"/>
              <w:gridCol w:w="769"/>
              <w:gridCol w:w="755"/>
              <w:gridCol w:w="900"/>
              <w:gridCol w:w="1150"/>
            </w:tblGrid>
            <w:tr w14:paraId="7F636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4" w:hRule="atLeast"/>
                <w:jc w:val="center"/>
              </w:trPr>
              <w:tc>
                <w:tcPr>
                  <w:tcW w:w="39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91999E0">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序号</w:t>
                  </w:r>
                </w:p>
              </w:tc>
              <w:tc>
                <w:tcPr>
                  <w:tcW w:w="7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56D9CA0">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固体废物名称</w:t>
                  </w:r>
                </w:p>
              </w:tc>
              <w:tc>
                <w:tcPr>
                  <w:tcW w:w="70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9B49520">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产生工序</w:t>
                  </w:r>
                </w:p>
              </w:tc>
              <w:tc>
                <w:tcPr>
                  <w:tcW w:w="67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FF95E84">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主要成分</w:t>
                  </w:r>
                </w:p>
              </w:tc>
              <w:tc>
                <w:tcPr>
                  <w:tcW w:w="42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4420872">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形态</w:t>
                  </w:r>
                </w:p>
              </w:tc>
              <w:tc>
                <w:tcPr>
                  <w:tcW w:w="81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63A22D4">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废物类别</w:t>
                  </w:r>
                </w:p>
              </w:tc>
              <w:tc>
                <w:tcPr>
                  <w:tcW w:w="12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FE73A06">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危废代码</w:t>
                  </w:r>
                </w:p>
              </w:tc>
              <w:tc>
                <w:tcPr>
                  <w:tcW w:w="152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32F7BAB">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环评阶段</w:t>
                  </w:r>
                </w:p>
              </w:tc>
              <w:tc>
                <w:tcPr>
                  <w:tcW w:w="205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504FA7BF">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实际建设</w:t>
                  </w:r>
                </w:p>
              </w:tc>
            </w:tr>
            <w:tr w14:paraId="327A5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4" w:hRule="atLeast"/>
                <w:jc w:val="center"/>
              </w:trPr>
              <w:tc>
                <w:tcPr>
                  <w:tcW w:w="3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D2EF496">
                  <w:pPr>
                    <w:pStyle w:val="24"/>
                    <w:keepNext w:val="0"/>
                    <w:keepLines w:val="0"/>
                    <w:suppressLineNumbers w:val="0"/>
                    <w:bidi w:val="0"/>
                    <w:spacing w:before="0" w:beforeAutospacing="0" w:after="0" w:afterAutospacing="0"/>
                    <w:ind w:left="0" w:right="0"/>
                    <w:rPr>
                      <w:rFonts w:hint="default"/>
                    </w:rPr>
                  </w:pPr>
                </w:p>
              </w:tc>
              <w:tc>
                <w:tcPr>
                  <w:tcW w:w="7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229E52F">
                  <w:pPr>
                    <w:pStyle w:val="24"/>
                    <w:keepNext w:val="0"/>
                    <w:keepLines w:val="0"/>
                    <w:suppressLineNumbers w:val="0"/>
                    <w:bidi w:val="0"/>
                    <w:spacing w:before="0" w:beforeAutospacing="0" w:after="0" w:afterAutospacing="0"/>
                    <w:ind w:left="0" w:right="0"/>
                    <w:rPr>
                      <w:rFonts w:hint="default"/>
                    </w:rPr>
                  </w:pPr>
                </w:p>
              </w:tc>
              <w:tc>
                <w:tcPr>
                  <w:tcW w:w="70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14DC344">
                  <w:pPr>
                    <w:pStyle w:val="24"/>
                    <w:keepNext w:val="0"/>
                    <w:keepLines w:val="0"/>
                    <w:suppressLineNumbers w:val="0"/>
                    <w:bidi w:val="0"/>
                    <w:spacing w:before="0" w:beforeAutospacing="0" w:after="0" w:afterAutospacing="0"/>
                    <w:ind w:left="0" w:right="0"/>
                    <w:rPr>
                      <w:rFonts w:hint="default"/>
                    </w:rPr>
                  </w:pPr>
                </w:p>
              </w:tc>
              <w:tc>
                <w:tcPr>
                  <w:tcW w:w="67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A3690F1">
                  <w:pPr>
                    <w:pStyle w:val="24"/>
                    <w:keepNext w:val="0"/>
                    <w:keepLines w:val="0"/>
                    <w:suppressLineNumbers w:val="0"/>
                    <w:bidi w:val="0"/>
                    <w:spacing w:before="0" w:beforeAutospacing="0" w:after="0" w:afterAutospacing="0"/>
                    <w:ind w:left="0" w:right="0"/>
                    <w:rPr>
                      <w:rFonts w:hint="default"/>
                    </w:rPr>
                  </w:pPr>
                </w:p>
              </w:tc>
              <w:tc>
                <w:tcPr>
                  <w:tcW w:w="42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03982A">
                  <w:pPr>
                    <w:pStyle w:val="24"/>
                    <w:keepNext w:val="0"/>
                    <w:keepLines w:val="0"/>
                    <w:suppressLineNumbers w:val="0"/>
                    <w:bidi w:val="0"/>
                    <w:spacing w:before="0" w:beforeAutospacing="0" w:after="0" w:afterAutospacing="0"/>
                    <w:ind w:left="0" w:right="0"/>
                    <w:rPr>
                      <w:rFonts w:hint="default"/>
                    </w:rPr>
                  </w:pPr>
                </w:p>
              </w:tc>
              <w:tc>
                <w:tcPr>
                  <w:tcW w:w="8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B1013F5">
                  <w:pPr>
                    <w:pStyle w:val="24"/>
                    <w:keepNext w:val="0"/>
                    <w:keepLines w:val="0"/>
                    <w:suppressLineNumbers w:val="0"/>
                    <w:bidi w:val="0"/>
                    <w:spacing w:before="0" w:beforeAutospacing="0" w:after="0" w:afterAutospacing="0"/>
                    <w:ind w:left="0" w:right="0"/>
                    <w:rPr>
                      <w:rFonts w:hint="default"/>
                    </w:rPr>
                  </w:pPr>
                </w:p>
              </w:tc>
              <w:tc>
                <w:tcPr>
                  <w:tcW w:w="1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54AA6D9">
                  <w:pPr>
                    <w:pStyle w:val="24"/>
                    <w:keepNext w:val="0"/>
                    <w:keepLines w:val="0"/>
                    <w:suppressLineNumbers w:val="0"/>
                    <w:bidi w:val="0"/>
                    <w:spacing w:before="0" w:beforeAutospacing="0" w:after="0" w:afterAutospacing="0"/>
                    <w:ind w:left="0" w:right="0"/>
                    <w:rPr>
                      <w:rFonts w:hint="default"/>
                    </w:rPr>
                  </w:pPr>
                </w:p>
              </w:tc>
              <w:tc>
                <w:tcPr>
                  <w:tcW w:w="769" w:type="dxa"/>
                  <w:tcBorders>
                    <w:top w:val="single" w:color="auto" w:sz="4" w:space="0"/>
                    <w:left w:val="single" w:color="auto" w:sz="4" w:space="0"/>
                    <w:bottom w:val="single" w:color="auto" w:sz="4" w:space="0"/>
                    <w:right w:val="single" w:color="auto" w:sz="4" w:space="0"/>
                  </w:tcBorders>
                  <w:shd w:val="clear" w:color="auto" w:fill="auto"/>
                  <w:vAlign w:val="center"/>
                </w:tcPr>
                <w:p w14:paraId="541F06B4">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产生量（</w:t>
                  </w:r>
                  <w:r>
                    <w:rPr>
                      <w:rFonts w:hint="default"/>
                      <w:lang w:val="en-US" w:eastAsia="zh-CN"/>
                    </w:rPr>
                    <w:t>t/a</w:t>
                  </w:r>
                  <w:r>
                    <w:rPr>
                      <w:rFonts w:hint="eastAsia"/>
                      <w:lang w:val="en-US" w:eastAsia="zh-CN"/>
                    </w:rPr>
                    <w:t>）</w:t>
                  </w:r>
                </w:p>
              </w:tc>
              <w:tc>
                <w:tcPr>
                  <w:tcW w:w="755" w:type="dxa"/>
                  <w:tcBorders>
                    <w:top w:val="single" w:color="auto" w:sz="4" w:space="0"/>
                    <w:left w:val="single" w:color="auto" w:sz="4" w:space="0"/>
                    <w:bottom w:val="single" w:color="auto" w:sz="4" w:space="0"/>
                    <w:right w:val="single" w:color="auto" w:sz="4" w:space="0"/>
                  </w:tcBorders>
                  <w:shd w:val="clear" w:color="auto" w:fill="auto"/>
                  <w:vAlign w:val="center"/>
                </w:tcPr>
                <w:p w14:paraId="05A9D40D">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防治措施</w:t>
                  </w:r>
                </w:p>
              </w:tc>
              <w:tc>
                <w:tcPr>
                  <w:tcW w:w="900" w:type="dxa"/>
                  <w:tcBorders>
                    <w:top w:val="single" w:color="auto" w:sz="4" w:space="0"/>
                    <w:left w:val="single" w:color="auto" w:sz="4" w:space="0"/>
                    <w:bottom w:val="single" w:color="auto" w:sz="4" w:space="0"/>
                    <w:right w:val="single" w:color="auto" w:sz="4" w:space="0"/>
                  </w:tcBorders>
                  <w:shd w:val="clear" w:color="auto" w:fill="auto"/>
                  <w:vAlign w:val="center"/>
                </w:tcPr>
                <w:p w14:paraId="77472119">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产生量（</w:t>
                  </w:r>
                  <w:r>
                    <w:rPr>
                      <w:rFonts w:hint="default"/>
                      <w:lang w:val="en-US" w:eastAsia="zh-CN"/>
                    </w:rPr>
                    <w:t>t/a</w:t>
                  </w:r>
                  <w:r>
                    <w:rPr>
                      <w:rFonts w:hint="eastAsia"/>
                      <w:lang w:val="en-US" w:eastAsia="zh-CN"/>
                    </w:rPr>
                    <w:t>）</w:t>
                  </w:r>
                </w:p>
              </w:tc>
              <w:tc>
                <w:tcPr>
                  <w:tcW w:w="1150" w:type="dxa"/>
                  <w:tcBorders>
                    <w:top w:val="single" w:color="auto" w:sz="4" w:space="0"/>
                    <w:left w:val="single" w:color="auto" w:sz="4" w:space="0"/>
                    <w:bottom w:val="single" w:color="auto" w:sz="4" w:space="0"/>
                    <w:right w:val="single" w:color="auto" w:sz="4" w:space="0"/>
                  </w:tcBorders>
                  <w:shd w:val="clear" w:color="auto" w:fill="auto"/>
                  <w:vAlign w:val="center"/>
                </w:tcPr>
                <w:p w14:paraId="437D0F2B">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防治</w:t>
                  </w:r>
                </w:p>
                <w:p w14:paraId="401EE55C">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措施</w:t>
                  </w:r>
                </w:p>
              </w:tc>
            </w:tr>
            <w:tr w14:paraId="0624D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45"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vAlign w:val="center"/>
                </w:tcPr>
                <w:p w14:paraId="02560362">
                  <w:pPr>
                    <w:pStyle w:val="24"/>
                    <w:keepNext w:val="0"/>
                    <w:keepLines w:val="0"/>
                    <w:suppressLineNumbers w:val="0"/>
                    <w:bidi w:val="0"/>
                    <w:spacing w:before="0" w:beforeAutospacing="0" w:after="0" w:afterAutospacing="0"/>
                    <w:ind w:left="0" w:right="0"/>
                    <w:rPr>
                      <w:rFonts w:hint="default"/>
                      <w:lang w:val="en-US"/>
                    </w:rPr>
                  </w:pPr>
                  <w:r>
                    <w:rPr>
                      <w:rFonts w:hint="default"/>
                      <w:lang w:val="en-US" w:eastAsia="zh-CN"/>
                    </w:rPr>
                    <w:t>1</w:t>
                  </w:r>
                </w:p>
              </w:tc>
              <w:tc>
                <w:tcPr>
                  <w:tcW w:w="717" w:type="dxa"/>
                  <w:tcBorders>
                    <w:top w:val="single" w:color="auto" w:sz="4" w:space="0"/>
                    <w:left w:val="single" w:color="auto" w:sz="4" w:space="0"/>
                    <w:bottom w:val="single" w:color="auto" w:sz="4" w:space="0"/>
                    <w:right w:val="single" w:color="auto" w:sz="4" w:space="0"/>
                  </w:tcBorders>
                  <w:shd w:val="clear" w:color="auto" w:fill="auto"/>
                  <w:vAlign w:val="center"/>
                </w:tcPr>
                <w:p w14:paraId="4EBE9C51">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废切削、磨削液</w:t>
                  </w:r>
                </w:p>
              </w:tc>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2D2B715D">
                  <w:pPr>
                    <w:pStyle w:val="24"/>
                    <w:ind w:left="0" w:leftChars="0" w:right="0" w:rightChars="0" w:firstLine="0" w:firstLineChars="0"/>
                    <w:rPr>
                      <w:rFonts w:hint="default"/>
                      <w:lang w:val="en-US"/>
                    </w:rPr>
                  </w:pPr>
                  <w:r>
                    <w:rPr>
                      <w:rFonts w:hint="eastAsia"/>
                      <w:lang w:eastAsia="zh-CN"/>
                    </w:rPr>
                    <w:t>生产过程</w:t>
                  </w:r>
                </w:p>
              </w:tc>
              <w:tc>
                <w:tcPr>
                  <w:tcW w:w="672" w:type="dxa"/>
                  <w:tcBorders>
                    <w:top w:val="single" w:color="auto" w:sz="4" w:space="0"/>
                    <w:left w:val="single" w:color="auto" w:sz="4" w:space="0"/>
                    <w:bottom w:val="single" w:color="auto" w:sz="4" w:space="0"/>
                    <w:right w:val="single" w:color="auto" w:sz="4" w:space="0"/>
                  </w:tcBorders>
                  <w:shd w:val="clear" w:color="auto" w:fill="auto"/>
                  <w:vAlign w:val="center"/>
                </w:tcPr>
                <w:p w14:paraId="6FF701E0">
                  <w:pPr>
                    <w:pStyle w:val="24"/>
                    <w:ind w:left="0" w:leftChars="0" w:right="0" w:rightChars="0" w:firstLine="0" w:firstLineChars="0"/>
                    <w:rPr>
                      <w:rFonts w:hint="default"/>
                      <w:lang w:val="en-US"/>
                    </w:rPr>
                  </w:pPr>
                  <w:r>
                    <w:rPr>
                      <w:rFonts w:hint="eastAsia"/>
                      <w:lang w:eastAsia="zh-CN"/>
                    </w:rPr>
                    <w:t>废切削液</w:t>
                  </w:r>
                </w:p>
              </w:tc>
              <w:tc>
                <w:tcPr>
                  <w:tcW w:w="420" w:type="dxa"/>
                  <w:tcBorders>
                    <w:top w:val="single" w:color="auto" w:sz="4" w:space="0"/>
                    <w:left w:val="single" w:color="auto" w:sz="4" w:space="0"/>
                    <w:bottom w:val="single" w:color="auto" w:sz="4" w:space="0"/>
                    <w:right w:val="single" w:color="auto" w:sz="4" w:space="0"/>
                  </w:tcBorders>
                  <w:shd w:val="clear" w:color="auto" w:fill="auto"/>
                  <w:vAlign w:val="center"/>
                </w:tcPr>
                <w:p w14:paraId="06B5A7AB">
                  <w:pPr>
                    <w:pStyle w:val="24"/>
                    <w:ind w:left="0" w:leftChars="0" w:right="0" w:rightChars="0" w:firstLine="0" w:firstLineChars="0"/>
                    <w:rPr>
                      <w:rFonts w:hint="default"/>
                      <w:lang w:val="en-US"/>
                    </w:rPr>
                  </w:pPr>
                  <w:r>
                    <w:rPr>
                      <w:rFonts w:hint="eastAsia"/>
                      <w:lang w:eastAsia="zh-CN"/>
                    </w:rPr>
                    <w:t>液</w:t>
                  </w:r>
                  <w:r>
                    <w:rPr>
                      <w:rFonts w:hint="default"/>
                    </w:rPr>
                    <w:t>态</w:t>
                  </w:r>
                </w:p>
              </w:tc>
              <w:tc>
                <w:tcPr>
                  <w:tcW w:w="816" w:type="dxa"/>
                  <w:tcBorders>
                    <w:top w:val="single" w:color="auto" w:sz="4" w:space="0"/>
                    <w:left w:val="single" w:color="auto" w:sz="4" w:space="0"/>
                    <w:bottom w:val="single" w:color="auto" w:sz="4" w:space="0"/>
                    <w:right w:val="single" w:color="auto" w:sz="4" w:space="0"/>
                  </w:tcBorders>
                  <w:shd w:val="clear" w:color="auto" w:fill="auto"/>
                  <w:vAlign w:val="center"/>
                </w:tcPr>
                <w:p w14:paraId="6F4114E2">
                  <w:pPr>
                    <w:pStyle w:val="24"/>
                    <w:ind w:left="0" w:leftChars="0" w:right="0" w:rightChars="0" w:firstLine="0" w:firstLineChars="0"/>
                    <w:rPr>
                      <w:rFonts w:hint="default"/>
                      <w:lang w:val="en-US"/>
                    </w:rPr>
                  </w:pPr>
                  <w:r>
                    <w:rPr>
                      <w:rFonts w:hint="eastAsia"/>
                      <w:lang w:val="en-US" w:eastAsia="zh-CN"/>
                    </w:rPr>
                    <w:t>HW09</w:t>
                  </w:r>
                </w:p>
              </w:tc>
              <w:tc>
                <w:tcPr>
                  <w:tcW w:w="1248" w:type="dxa"/>
                  <w:tcBorders>
                    <w:top w:val="single" w:color="auto" w:sz="4" w:space="0"/>
                    <w:left w:val="single" w:color="auto" w:sz="4" w:space="0"/>
                    <w:bottom w:val="single" w:color="auto" w:sz="4" w:space="0"/>
                    <w:right w:val="single" w:color="auto" w:sz="4" w:space="0"/>
                  </w:tcBorders>
                  <w:shd w:val="clear" w:color="auto" w:fill="auto"/>
                  <w:vAlign w:val="center"/>
                </w:tcPr>
                <w:p w14:paraId="62A447D0">
                  <w:pPr>
                    <w:pStyle w:val="24"/>
                    <w:ind w:left="0" w:leftChars="0" w:right="0" w:rightChars="0" w:firstLine="0" w:firstLineChars="0"/>
                    <w:rPr>
                      <w:rFonts w:hint="default"/>
                      <w:lang w:val="en-US"/>
                    </w:rPr>
                  </w:pPr>
                  <w:r>
                    <w:rPr>
                      <w:rFonts w:hint="eastAsia"/>
                      <w:lang w:val="en-US" w:eastAsia="zh-CN"/>
                    </w:rPr>
                    <w:t>900-006-09</w:t>
                  </w:r>
                </w:p>
              </w:tc>
              <w:tc>
                <w:tcPr>
                  <w:tcW w:w="769" w:type="dxa"/>
                  <w:tcBorders>
                    <w:top w:val="single" w:color="auto" w:sz="4" w:space="0"/>
                    <w:left w:val="single" w:color="auto" w:sz="4" w:space="0"/>
                    <w:bottom w:val="single" w:color="auto" w:sz="4" w:space="0"/>
                    <w:right w:val="single" w:color="auto" w:sz="4" w:space="0"/>
                  </w:tcBorders>
                  <w:shd w:val="clear" w:color="auto" w:fill="auto"/>
                  <w:vAlign w:val="center"/>
                </w:tcPr>
                <w:p w14:paraId="47DBDA4C">
                  <w:pPr>
                    <w:pStyle w:val="24"/>
                    <w:ind w:left="0" w:leftChars="0" w:right="0" w:rightChars="0" w:firstLine="0" w:firstLineChars="0"/>
                    <w:rPr>
                      <w:rFonts w:hint="default"/>
                      <w:lang w:val="en-US" w:eastAsia="zh-CN"/>
                    </w:rPr>
                  </w:pPr>
                  <w:r>
                    <w:rPr>
                      <w:rFonts w:hint="eastAsia"/>
                      <w:lang w:val="en-US" w:eastAsia="zh-CN"/>
                    </w:rPr>
                    <w:t>12.7</w:t>
                  </w:r>
                </w:p>
              </w:tc>
              <w:tc>
                <w:tcPr>
                  <w:tcW w:w="755" w:type="dxa"/>
                  <w:vMerge w:val="restart"/>
                  <w:tcBorders>
                    <w:top w:val="single" w:color="auto" w:sz="4" w:space="0"/>
                    <w:left w:val="single" w:color="auto" w:sz="4" w:space="0"/>
                    <w:right w:val="single" w:color="auto" w:sz="4" w:space="0"/>
                  </w:tcBorders>
                  <w:shd w:val="clear" w:color="auto" w:fill="auto"/>
                  <w:vAlign w:val="center"/>
                </w:tcPr>
                <w:p w14:paraId="52AF5842">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交由有危废资质单位进行安全处置</w:t>
                  </w:r>
                </w:p>
              </w:tc>
              <w:tc>
                <w:tcPr>
                  <w:tcW w:w="900" w:type="dxa"/>
                  <w:tcBorders>
                    <w:top w:val="single" w:color="auto" w:sz="4" w:space="0"/>
                    <w:left w:val="single" w:color="auto" w:sz="4" w:space="0"/>
                    <w:bottom w:val="single" w:color="auto" w:sz="4" w:space="0"/>
                    <w:right w:val="single" w:color="auto" w:sz="4" w:space="0"/>
                  </w:tcBorders>
                  <w:shd w:val="clear" w:color="auto" w:fill="auto"/>
                  <w:vAlign w:val="center"/>
                </w:tcPr>
                <w:p w14:paraId="6FB216FD">
                  <w:pPr>
                    <w:pStyle w:val="24"/>
                    <w:ind w:left="0" w:leftChars="0" w:right="0" w:rightChars="0" w:firstLine="0" w:firstLineChars="0"/>
                    <w:rPr>
                      <w:rFonts w:hint="default"/>
                      <w:lang w:val="en-US"/>
                    </w:rPr>
                  </w:pPr>
                  <w:r>
                    <w:rPr>
                      <w:rFonts w:hint="eastAsia"/>
                      <w:lang w:val="en-US" w:eastAsia="zh-CN"/>
                    </w:rPr>
                    <w:t>12.7</w:t>
                  </w:r>
                </w:p>
              </w:tc>
              <w:tc>
                <w:tcPr>
                  <w:tcW w:w="1150" w:type="dxa"/>
                  <w:vMerge w:val="restart"/>
                  <w:tcBorders>
                    <w:top w:val="single" w:color="auto" w:sz="4" w:space="0"/>
                    <w:left w:val="single" w:color="auto" w:sz="4" w:space="0"/>
                    <w:right w:val="single" w:color="auto" w:sz="4" w:space="0"/>
                  </w:tcBorders>
                  <w:shd w:val="clear" w:color="auto" w:fill="auto"/>
                  <w:vAlign w:val="center"/>
                </w:tcPr>
                <w:p w14:paraId="1678E044">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交由安徽省爱维斯环保科技有限公司无害化处置</w:t>
                  </w:r>
                </w:p>
              </w:tc>
            </w:tr>
            <w:tr w14:paraId="4AD4C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58"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vAlign w:val="center"/>
                </w:tcPr>
                <w:p w14:paraId="4442EE04">
                  <w:pPr>
                    <w:pStyle w:val="24"/>
                    <w:keepNext w:val="0"/>
                    <w:keepLines w:val="0"/>
                    <w:suppressLineNumbers w:val="0"/>
                    <w:bidi w:val="0"/>
                    <w:spacing w:before="0" w:beforeAutospacing="0" w:after="0" w:afterAutospacing="0"/>
                    <w:ind w:left="0" w:right="0"/>
                    <w:rPr>
                      <w:rFonts w:hint="default"/>
                      <w:lang w:val="en-US"/>
                    </w:rPr>
                  </w:pPr>
                  <w:r>
                    <w:rPr>
                      <w:rFonts w:hint="default"/>
                      <w:lang w:val="en-US" w:eastAsia="zh-CN"/>
                    </w:rPr>
                    <w:t>2</w:t>
                  </w:r>
                </w:p>
              </w:tc>
              <w:tc>
                <w:tcPr>
                  <w:tcW w:w="717" w:type="dxa"/>
                  <w:tcBorders>
                    <w:top w:val="single" w:color="auto" w:sz="4" w:space="0"/>
                    <w:left w:val="single" w:color="auto" w:sz="4" w:space="0"/>
                    <w:bottom w:val="single" w:color="auto" w:sz="4" w:space="0"/>
                    <w:right w:val="single" w:color="auto" w:sz="4" w:space="0"/>
                  </w:tcBorders>
                  <w:shd w:val="clear" w:color="auto" w:fill="auto"/>
                  <w:vAlign w:val="center"/>
                </w:tcPr>
                <w:p w14:paraId="70197D11">
                  <w:pPr>
                    <w:pStyle w:val="24"/>
                    <w:rPr>
                      <w:rFonts w:hint="eastAsia"/>
                      <w:lang w:val="en-US" w:eastAsia="zh-CN"/>
                    </w:rPr>
                  </w:pPr>
                  <w:r>
                    <w:rPr>
                      <w:rFonts w:hint="eastAsia"/>
                      <w:lang w:val="en-US" w:eastAsia="zh-CN"/>
                    </w:rPr>
                    <w:t>磨削</w:t>
                  </w:r>
                </w:p>
                <w:p w14:paraId="7C31F5CB">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油泥</w:t>
                  </w:r>
                </w:p>
              </w:tc>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4F424960">
                  <w:pPr>
                    <w:pStyle w:val="24"/>
                    <w:ind w:left="0" w:leftChars="0" w:right="0" w:rightChars="0" w:firstLine="0" w:firstLineChars="0"/>
                    <w:rPr>
                      <w:rFonts w:hint="default"/>
                      <w:lang w:val="en-US" w:eastAsia="zh-CN"/>
                    </w:rPr>
                  </w:pPr>
                  <w:r>
                    <w:rPr>
                      <w:rFonts w:hint="default"/>
                    </w:rPr>
                    <w:t>生产过程</w:t>
                  </w:r>
                </w:p>
              </w:tc>
              <w:tc>
                <w:tcPr>
                  <w:tcW w:w="672" w:type="dxa"/>
                  <w:tcBorders>
                    <w:top w:val="single" w:color="auto" w:sz="4" w:space="0"/>
                    <w:left w:val="single" w:color="auto" w:sz="4" w:space="0"/>
                    <w:bottom w:val="single" w:color="auto" w:sz="4" w:space="0"/>
                    <w:right w:val="single" w:color="auto" w:sz="4" w:space="0"/>
                  </w:tcBorders>
                  <w:shd w:val="clear" w:color="auto" w:fill="auto"/>
                  <w:vAlign w:val="center"/>
                </w:tcPr>
                <w:p w14:paraId="0898F7FE">
                  <w:pPr>
                    <w:pStyle w:val="24"/>
                    <w:ind w:left="0" w:leftChars="0" w:right="0" w:rightChars="0" w:firstLine="0" w:firstLineChars="0"/>
                    <w:rPr>
                      <w:rFonts w:hint="default"/>
                      <w:lang w:val="en-US" w:eastAsia="zh-CN"/>
                    </w:rPr>
                  </w:pPr>
                  <w:r>
                    <w:rPr>
                      <w:rFonts w:hint="eastAsia"/>
                      <w:lang w:eastAsia="zh-CN"/>
                    </w:rPr>
                    <w:t>油泥</w:t>
                  </w:r>
                </w:p>
              </w:tc>
              <w:tc>
                <w:tcPr>
                  <w:tcW w:w="420" w:type="dxa"/>
                  <w:tcBorders>
                    <w:top w:val="single" w:color="auto" w:sz="4" w:space="0"/>
                    <w:left w:val="single" w:color="auto" w:sz="4" w:space="0"/>
                    <w:bottom w:val="single" w:color="auto" w:sz="4" w:space="0"/>
                    <w:right w:val="single" w:color="auto" w:sz="4" w:space="0"/>
                  </w:tcBorders>
                  <w:shd w:val="clear" w:color="auto" w:fill="auto"/>
                  <w:vAlign w:val="center"/>
                </w:tcPr>
                <w:p w14:paraId="30C7F6D1">
                  <w:pPr>
                    <w:pStyle w:val="24"/>
                    <w:ind w:left="0" w:leftChars="0" w:right="0" w:rightChars="0" w:firstLine="0" w:firstLineChars="0"/>
                    <w:rPr>
                      <w:rFonts w:hint="default"/>
                      <w:lang w:val="en-US" w:eastAsia="zh-CN"/>
                    </w:rPr>
                  </w:pPr>
                  <w:r>
                    <w:rPr>
                      <w:rFonts w:hint="default"/>
                    </w:rPr>
                    <w:t>固态</w:t>
                  </w:r>
                </w:p>
              </w:tc>
              <w:tc>
                <w:tcPr>
                  <w:tcW w:w="816" w:type="dxa"/>
                  <w:tcBorders>
                    <w:top w:val="single" w:color="auto" w:sz="4" w:space="0"/>
                    <w:left w:val="nil"/>
                    <w:bottom w:val="single" w:color="auto" w:sz="4" w:space="0"/>
                    <w:right w:val="single" w:color="auto" w:sz="4" w:space="0"/>
                  </w:tcBorders>
                  <w:shd w:val="clear" w:color="auto" w:fill="auto"/>
                  <w:vAlign w:val="center"/>
                </w:tcPr>
                <w:p w14:paraId="0AA0A59B">
                  <w:pPr>
                    <w:pStyle w:val="24"/>
                    <w:ind w:left="0" w:leftChars="0" w:right="0" w:rightChars="0" w:firstLine="0" w:firstLineChars="0"/>
                    <w:rPr>
                      <w:rFonts w:hint="default"/>
                      <w:lang w:val="en-US" w:eastAsia="zh-CN"/>
                    </w:rPr>
                  </w:pPr>
                  <w:r>
                    <w:rPr>
                      <w:rFonts w:hint="eastAsia"/>
                      <w:lang w:val="en-US" w:eastAsia="zh-CN"/>
                    </w:rPr>
                    <w:t>HW08</w:t>
                  </w:r>
                </w:p>
              </w:tc>
              <w:tc>
                <w:tcPr>
                  <w:tcW w:w="1248" w:type="dxa"/>
                  <w:tcBorders>
                    <w:top w:val="single" w:color="auto" w:sz="4" w:space="0"/>
                    <w:left w:val="nil"/>
                    <w:bottom w:val="single" w:color="auto" w:sz="4" w:space="0"/>
                    <w:right w:val="single" w:color="auto" w:sz="4" w:space="0"/>
                  </w:tcBorders>
                  <w:shd w:val="clear" w:color="auto" w:fill="auto"/>
                  <w:vAlign w:val="center"/>
                </w:tcPr>
                <w:p w14:paraId="28342B9D">
                  <w:pPr>
                    <w:pStyle w:val="24"/>
                    <w:ind w:left="0" w:leftChars="0" w:right="0" w:rightChars="0" w:firstLine="0" w:firstLineChars="0"/>
                    <w:rPr>
                      <w:rFonts w:hint="default"/>
                      <w:lang w:val="en-US" w:eastAsia="zh-CN"/>
                    </w:rPr>
                  </w:pPr>
                  <w:r>
                    <w:rPr>
                      <w:rFonts w:hint="eastAsia"/>
                      <w:lang w:val="en-US" w:eastAsia="zh-CN"/>
                    </w:rPr>
                    <w:t>900-200-08</w:t>
                  </w:r>
                </w:p>
              </w:tc>
              <w:tc>
                <w:tcPr>
                  <w:tcW w:w="769" w:type="dxa"/>
                  <w:tcBorders>
                    <w:top w:val="single" w:color="auto" w:sz="4" w:space="0"/>
                    <w:left w:val="single" w:color="auto" w:sz="4" w:space="0"/>
                    <w:bottom w:val="single" w:color="auto" w:sz="4" w:space="0"/>
                    <w:right w:val="single" w:color="auto" w:sz="4" w:space="0"/>
                  </w:tcBorders>
                  <w:shd w:val="clear" w:color="auto" w:fill="auto"/>
                  <w:vAlign w:val="center"/>
                </w:tcPr>
                <w:p w14:paraId="4D37D389">
                  <w:pPr>
                    <w:pStyle w:val="24"/>
                    <w:ind w:left="0" w:leftChars="0" w:right="0" w:rightChars="0" w:firstLine="0" w:firstLineChars="0"/>
                    <w:rPr>
                      <w:rFonts w:hint="default"/>
                      <w:lang w:val="en-US" w:eastAsia="zh-CN"/>
                    </w:rPr>
                  </w:pPr>
                  <w:r>
                    <w:rPr>
                      <w:rFonts w:hint="eastAsia"/>
                      <w:lang w:val="en-US" w:eastAsia="zh-CN"/>
                    </w:rPr>
                    <w:t>5</w:t>
                  </w:r>
                </w:p>
              </w:tc>
              <w:tc>
                <w:tcPr>
                  <w:tcW w:w="755" w:type="dxa"/>
                  <w:vMerge w:val="continue"/>
                  <w:tcBorders>
                    <w:left w:val="single" w:color="auto" w:sz="4" w:space="0"/>
                    <w:right w:val="single" w:color="auto" w:sz="4" w:space="0"/>
                  </w:tcBorders>
                  <w:shd w:val="clear" w:color="auto" w:fill="auto"/>
                  <w:vAlign w:val="center"/>
                </w:tcPr>
                <w:p w14:paraId="4089EA55">
                  <w:pPr>
                    <w:pStyle w:val="24"/>
                    <w:keepNext w:val="0"/>
                    <w:keepLines w:val="0"/>
                    <w:suppressLineNumbers w:val="0"/>
                    <w:bidi w:val="0"/>
                    <w:spacing w:before="0" w:beforeAutospacing="0" w:after="0" w:afterAutospacing="0"/>
                    <w:ind w:left="0" w:right="0"/>
                    <w:rPr>
                      <w:rFonts w:hint="default"/>
                    </w:rPr>
                  </w:pPr>
                </w:p>
              </w:tc>
              <w:tc>
                <w:tcPr>
                  <w:tcW w:w="900" w:type="dxa"/>
                  <w:tcBorders>
                    <w:top w:val="single" w:color="auto" w:sz="4" w:space="0"/>
                    <w:left w:val="single" w:color="auto" w:sz="4" w:space="0"/>
                    <w:bottom w:val="single" w:color="auto" w:sz="4" w:space="0"/>
                    <w:right w:val="single" w:color="auto" w:sz="4" w:space="0"/>
                  </w:tcBorders>
                  <w:shd w:val="clear" w:color="auto" w:fill="auto"/>
                  <w:vAlign w:val="center"/>
                </w:tcPr>
                <w:p w14:paraId="1680780A">
                  <w:pPr>
                    <w:pStyle w:val="24"/>
                    <w:ind w:left="0" w:leftChars="0" w:right="0" w:rightChars="0" w:firstLine="0" w:firstLineChars="0"/>
                    <w:rPr>
                      <w:rFonts w:hint="default"/>
                      <w:lang w:val="en-US"/>
                    </w:rPr>
                  </w:pPr>
                  <w:r>
                    <w:rPr>
                      <w:rFonts w:hint="eastAsia"/>
                      <w:lang w:val="en-US" w:eastAsia="zh-CN"/>
                    </w:rPr>
                    <w:t>5</w:t>
                  </w:r>
                </w:p>
              </w:tc>
              <w:tc>
                <w:tcPr>
                  <w:tcW w:w="1150" w:type="dxa"/>
                  <w:vMerge w:val="continue"/>
                  <w:tcBorders>
                    <w:left w:val="single" w:color="auto" w:sz="4" w:space="0"/>
                    <w:right w:val="single" w:color="auto" w:sz="4" w:space="0"/>
                  </w:tcBorders>
                  <w:shd w:val="clear" w:color="auto" w:fill="auto"/>
                  <w:vAlign w:val="center"/>
                </w:tcPr>
                <w:p w14:paraId="3244B62E">
                  <w:pPr>
                    <w:pStyle w:val="24"/>
                    <w:keepNext w:val="0"/>
                    <w:keepLines w:val="0"/>
                    <w:suppressLineNumbers w:val="0"/>
                    <w:bidi w:val="0"/>
                    <w:spacing w:before="0" w:beforeAutospacing="0" w:after="0" w:afterAutospacing="0"/>
                    <w:ind w:left="0" w:right="0"/>
                    <w:rPr>
                      <w:rFonts w:hint="default"/>
                    </w:rPr>
                  </w:pPr>
                </w:p>
              </w:tc>
            </w:tr>
            <w:tr w14:paraId="626B3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58"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vAlign w:val="center"/>
                </w:tcPr>
                <w:p w14:paraId="5C54DF8C">
                  <w:pPr>
                    <w:pStyle w:val="24"/>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kern w:val="2"/>
                      <w:sz w:val="21"/>
                      <w:szCs w:val="20"/>
                      <w:lang w:val="en-US" w:eastAsia="zh-CN" w:bidi="ar-SA"/>
                    </w:rPr>
                  </w:pPr>
                  <w:r>
                    <w:rPr>
                      <w:rFonts w:hint="eastAsia"/>
                      <w:lang w:val="en-US" w:eastAsia="zh-CN"/>
                    </w:rPr>
                    <w:t>3</w:t>
                  </w:r>
                </w:p>
              </w:tc>
              <w:tc>
                <w:tcPr>
                  <w:tcW w:w="717" w:type="dxa"/>
                  <w:tcBorders>
                    <w:top w:val="single" w:color="auto" w:sz="4" w:space="0"/>
                    <w:left w:val="single" w:color="auto" w:sz="4" w:space="0"/>
                    <w:bottom w:val="single" w:color="auto" w:sz="4" w:space="0"/>
                    <w:right w:val="single" w:color="auto" w:sz="4" w:space="0"/>
                  </w:tcBorders>
                  <w:shd w:val="clear" w:color="auto" w:fill="auto"/>
                  <w:vAlign w:val="center"/>
                </w:tcPr>
                <w:p w14:paraId="72EB1E55">
                  <w:pPr>
                    <w:pStyle w:val="24"/>
                    <w:rPr>
                      <w:rFonts w:hint="eastAsia"/>
                      <w:lang w:eastAsia="zh-CN"/>
                    </w:rPr>
                  </w:pPr>
                  <w:r>
                    <w:rPr>
                      <w:rFonts w:hint="eastAsia"/>
                      <w:lang w:eastAsia="zh-CN"/>
                    </w:rPr>
                    <w:t>废液</w:t>
                  </w:r>
                </w:p>
                <w:p w14:paraId="771A3BCE">
                  <w:pPr>
                    <w:pStyle w:val="24"/>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eastAsia="zh-CN"/>
                    </w:rPr>
                    <w:t>压油</w:t>
                  </w:r>
                </w:p>
              </w:tc>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0777FADE">
                  <w:pPr>
                    <w:pStyle w:val="24"/>
                    <w:ind w:left="0" w:leftChars="0" w:right="0" w:rightChars="0" w:firstLine="0" w:firstLineChars="0"/>
                    <w:rPr>
                      <w:rFonts w:hint="eastAsia" w:ascii="Times New Roman" w:hAnsi="Times New Roman" w:eastAsia="宋体" w:cs="Times New Roman"/>
                      <w:kern w:val="2"/>
                      <w:sz w:val="21"/>
                      <w:szCs w:val="20"/>
                      <w:lang w:val="en-US" w:eastAsia="zh-CN" w:bidi="ar-SA"/>
                    </w:rPr>
                  </w:pPr>
                  <w:r>
                    <w:rPr>
                      <w:rFonts w:hint="default"/>
                    </w:rPr>
                    <w:t>生产过程</w:t>
                  </w:r>
                </w:p>
              </w:tc>
              <w:tc>
                <w:tcPr>
                  <w:tcW w:w="672" w:type="dxa"/>
                  <w:tcBorders>
                    <w:top w:val="single" w:color="auto" w:sz="4" w:space="0"/>
                    <w:left w:val="single" w:color="auto" w:sz="4" w:space="0"/>
                    <w:bottom w:val="single" w:color="auto" w:sz="4" w:space="0"/>
                    <w:right w:val="single" w:color="auto" w:sz="4" w:space="0"/>
                  </w:tcBorders>
                  <w:shd w:val="clear" w:color="auto" w:fill="auto"/>
                  <w:vAlign w:val="center"/>
                </w:tcPr>
                <w:p w14:paraId="7D64FBE2">
                  <w:pPr>
                    <w:pStyle w:val="24"/>
                    <w:ind w:left="0" w:leftChars="0" w:right="0" w:rightChars="0" w:firstLine="0" w:firstLineChars="0"/>
                    <w:rPr>
                      <w:rFonts w:hint="eastAsia" w:ascii="Times New Roman" w:hAnsi="Times New Roman" w:eastAsia="宋体" w:cs="Times New Roman"/>
                      <w:kern w:val="2"/>
                      <w:sz w:val="21"/>
                      <w:szCs w:val="20"/>
                      <w:lang w:val="en-US" w:eastAsia="zh-CN" w:bidi="ar-SA"/>
                    </w:rPr>
                  </w:pPr>
                  <w:r>
                    <w:rPr>
                      <w:rFonts w:hint="eastAsia"/>
                      <w:lang w:eastAsia="zh-CN"/>
                    </w:rPr>
                    <w:t>矿物油</w:t>
                  </w:r>
                </w:p>
              </w:tc>
              <w:tc>
                <w:tcPr>
                  <w:tcW w:w="420" w:type="dxa"/>
                  <w:tcBorders>
                    <w:top w:val="single" w:color="auto" w:sz="4" w:space="0"/>
                    <w:left w:val="single" w:color="auto" w:sz="4" w:space="0"/>
                    <w:bottom w:val="single" w:color="auto" w:sz="4" w:space="0"/>
                    <w:right w:val="single" w:color="auto" w:sz="4" w:space="0"/>
                  </w:tcBorders>
                  <w:shd w:val="clear" w:color="auto" w:fill="auto"/>
                  <w:vAlign w:val="center"/>
                </w:tcPr>
                <w:p w14:paraId="2D39DBEF">
                  <w:pPr>
                    <w:pStyle w:val="24"/>
                    <w:ind w:left="0" w:leftChars="0" w:right="0" w:rightChars="0" w:firstLine="0" w:firstLineChars="0"/>
                    <w:rPr>
                      <w:rFonts w:hint="eastAsia" w:ascii="Times New Roman" w:hAnsi="Times New Roman" w:eastAsia="宋体" w:cs="Times New Roman"/>
                      <w:kern w:val="2"/>
                      <w:sz w:val="21"/>
                      <w:szCs w:val="20"/>
                      <w:lang w:val="en-US" w:eastAsia="zh-CN" w:bidi="ar-SA"/>
                    </w:rPr>
                  </w:pPr>
                  <w:r>
                    <w:rPr>
                      <w:rFonts w:hint="eastAsia"/>
                      <w:lang w:eastAsia="zh-CN"/>
                    </w:rPr>
                    <w:t>液</w:t>
                  </w:r>
                  <w:r>
                    <w:rPr>
                      <w:rFonts w:hint="default"/>
                    </w:rPr>
                    <w:t>态</w:t>
                  </w:r>
                </w:p>
              </w:tc>
              <w:tc>
                <w:tcPr>
                  <w:tcW w:w="816" w:type="dxa"/>
                  <w:tcBorders>
                    <w:top w:val="single" w:color="auto" w:sz="4" w:space="0"/>
                    <w:left w:val="nil"/>
                    <w:bottom w:val="single" w:color="auto" w:sz="4" w:space="0"/>
                    <w:right w:val="single" w:color="auto" w:sz="4" w:space="0"/>
                  </w:tcBorders>
                  <w:shd w:val="clear" w:color="auto" w:fill="auto"/>
                  <w:vAlign w:val="center"/>
                </w:tcPr>
                <w:p w14:paraId="654DB31D">
                  <w:pPr>
                    <w:pStyle w:val="24"/>
                    <w:ind w:left="0" w:leftChars="0" w:right="0" w:rightChars="0" w:firstLine="0" w:firstLineChars="0"/>
                    <w:rPr>
                      <w:rFonts w:hint="default" w:ascii="Times New Roman" w:hAnsi="Times New Roman" w:eastAsia="宋体" w:cs="Times New Roman"/>
                      <w:kern w:val="2"/>
                      <w:sz w:val="21"/>
                      <w:szCs w:val="20"/>
                      <w:lang w:val="en-US" w:eastAsia="zh-CN" w:bidi="ar-SA"/>
                    </w:rPr>
                  </w:pPr>
                  <w:r>
                    <w:rPr>
                      <w:rFonts w:hint="eastAsia"/>
                      <w:lang w:val="en-US" w:eastAsia="zh-CN"/>
                    </w:rPr>
                    <w:t>HW08</w:t>
                  </w:r>
                </w:p>
              </w:tc>
              <w:tc>
                <w:tcPr>
                  <w:tcW w:w="1248" w:type="dxa"/>
                  <w:tcBorders>
                    <w:top w:val="single" w:color="auto" w:sz="4" w:space="0"/>
                    <w:left w:val="nil"/>
                    <w:bottom w:val="single" w:color="auto" w:sz="4" w:space="0"/>
                    <w:right w:val="single" w:color="auto" w:sz="4" w:space="0"/>
                  </w:tcBorders>
                  <w:shd w:val="clear" w:color="auto" w:fill="auto"/>
                  <w:vAlign w:val="center"/>
                </w:tcPr>
                <w:p w14:paraId="417F13CD">
                  <w:pPr>
                    <w:pStyle w:val="24"/>
                    <w:ind w:left="0" w:leftChars="0" w:right="0" w:rightChars="0" w:firstLine="0" w:firstLineChars="0"/>
                    <w:rPr>
                      <w:rFonts w:hint="default" w:ascii="Times New Roman" w:hAnsi="Times New Roman" w:eastAsia="宋体" w:cs="Times New Roman"/>
                      <w:kern w:val="2"/>
                      <w:sz w:val="21"/>
                      <w:szCs w:val="20"/>
                      <w:lang w:val="en-US" w:eastAsia="zh-CN" w:bidi="ar-SA"/>
                    </w:rPr>
                  </w:pPr>
                  <w:r>
                    <w:rPr>
                      <w:rFonts w:hint="eastAsia"/>
                      <w:lang w:val="en-US" w:eastAsia="zh-CN"/>
                    </w:rPr>
                    <w:t>900-218-08</w:t>
                  </w:r>
                </w:p>
              </w:tc>
              <w:tc>
                <w:tcPr>
                  <w:tcW w:w="769" w:type="dxa"/>
                  <w:tcBorders>
                    <w:top w:val="single" w:color="auto" w:sz="4" w:space="0"/>
                    <w:left w:val="single" w:color="auto" w:sz="4" w:space="0"/>
                    <w:bottom w:val="single" w:color="auto" w:sz="4" w:space="0"/>
                    <w:right w:val="single" w:color="auto" w:sz="4" w:space="0"/>
                  </w:tcBorders>
                  <w:shd w:val="clear" w:color="auto" w:fill="auto"/>
                  <w:vAlign w:val="center"/>
                </w:tcPr>
                <w:p w14:paraId="60292B5A">
                  <w:pPr>
                    <w:pStyle w:val="24"/>
                    <w:ind w:left="0" w:leftChars="0" w:right="0" w:rightChars="0" w:firstLine="0" w:firstLineChars="0"/>
                    <w:rPr>
                      <w:rFonts w:hint="default" w:ascii="Times New Roman" w:hAnsi="Times New Roman" w:eastAsia="宋体" w:cs="Times New Roman"/>
                      <w:kern w:val="2"/>
                      <w:sz w:val="21"/>
                      <w:szCs w:val="20"/>
                      <w:lang w:val="en-US" w:eastAsia="zh-CN" w:bidi="ar-SA"/>
                    </w:rPr>
                  </w:pPr>
                  <w:r>
                    <w:rPr>
                      <w:rFonts w:hint="eastAsia"/>
                      <w:lang w:val="en-US" w:eastAsia="zh-CN"/>
                    </w:rPr>
                    <w:t>3</w:t>
                  </w:r>
                </w:p>
              </w:tc>
              <w:tc>
                <w:tcPr>
                  <w:tcW w:w="755" w:type="dxa"/>
                  <w:vMerge w:val="continue"/>
                  <w:tcBorders>
                    <w:left w:val="single" w:color="auto" w:sz="4" w:space="0"/>
                    <w:right w:val="single" w:color="auto" w:sz="4" w:space="0"/>
                  </w:tcBorders>
                  <w:shd w:val="clear" w:color="auto" w:fill="auto"/>
                  <w:vAlign w:val="center"/>
                </w:tcPr>
                <w:p w14:paraId="1891F53B">
                  <w:pPr>
                    <w:pStyle w:val="24"/>
                    <w:keepNext w:val="0"/>
                    <w:keepLines w:val="0"/>
                    <w:suppressLineNumbers w:val="0"/>
                    <w:bidi w:val="0"/>
                    <w:spacing w:before="0" w:beforeAutospacing="0" w:after="0" w:afterAutospacing="0"/>
                    <w:ind w:left="0" w:right="0"/>
                    <w:rPr>
                      <w:rFonts w:hint="default"/>
                    </w:rPr>
                  </w:pPr>
                </w:p>
              </w:tc>
              <w:tc>
                <w:tcPr>
                  <w:tcW w:w="900" w:type="dxa"/>
                  <w:tcBorders>
                    <w:top w:val="single" w:color="auto" w:sz="4" w:space="0"/>
                    <w:left w:val="single" w:color="auto" w:sz="4" w:space="0"/>
                    <w:bottom w:val="single" w:color="auto" w:sz="4" w:space="0"/>
                    <w:right w:val="single" w:color="auto" w:sz="4" w:space="0"/>
                  </w:tcBorders>
                  <w:shd w:val="clear" w:color="auto" w:fill="auto"/>
                  <w:vAlign w:val="center"/>
                </w:tcPr>
                <w:p w14:paraId="1A0615E8">
                  <w:pPr>
                    <w:pStyle w:val="24"/>
                    <w:ind w:left="0" w:leftChars="0" w:right="0" w:rightChars="0" w:firstLine="0" w:firstLineChars="0"/>
                    <w:rPr>
                      <w:rFonts w:hint="default"/>
                      <w:lang w:val="en-US" w:eastAsia="zh-CN"/>
                    </w:rPr>
                  </w:pPr>
                  <w:r>
                    <w:rPr>
                      <w:rFonts w:hint="eastAsia"/>
                      <w:lang w:val="en-US" w:eastAsia="zh-CN"/>
                    </w:rPr>
                    <w:t>3</w:t>
                  </w:r>
                </w:p>
              </w:tc>
              <w:tc>
                <w:tcPr>
                  <w:tcW w:w="1150" w:type="dxa"/>
                  <w:vMerge w:val="continue"/>
                  <w:tcBorders>
                    <w:left w:val="single" w:color="auto" w:sz="4" w:space="0"/>
                    <w:right w:val="single" w:color="auto" w:sz="4" w:space="0"/>
                  </w:tcBorders>
                  <w:shd w:val="clear" w:color="auto" w:fill="auto"/>
                  <w:vAlign w:val="center"/>
                </w:tcPr>
                <w:p w14:paraId="46CB79C5">
                  <w:pPr>
                    <w:pStyle w:val="24"/>
                    <w:keepNext w:val="0"/>
                    <w:keepLines w:val="0"/>
                    <w:suppressLineNumbers w:val="0"/>
                    <w:bidi w:val="0"/>
                    <w:spacing w:before="0" w:beforeAutospacing="0" w:after="0" w:afterAutospacing="0"/>
                    <w:ind w:left="0" w:right="0"/>
                    <w:rPr>
                      <w:rFonts w:hint="default"/>
                      <w:lang w:val="en-US"/>
                    </w:rPr>
                  </w:pPr>
                </w:p>
              </w:tc>
            </w:tr>
            <w:tr w14:paraId="3BA4E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45"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vAlign w:val="center"/>
                </w:tcPr>
                <w:p w14:paraId="2F591C2A">
                  <w:pPr>
                    <w:pStyle w:val="24"/>
                    <w:keepNext w:val="0"/>
                    <w:keepLines w:val="0"/>
                    <w:suppressLineNumbers w:val="0"/>
                    <w:bidi w:val="0"/>
                    <w:spacing w:before="0" w:beforeAutospacing="0" w:after="0" w:afterAutospacing="0"/>
                    <w:ind w:left="0" w:right="0"/>
                    <w:rPr>
                      <w:rFonts w:hint="default"/>
                      <w:lang w:val="en-US"/>
                    </w:rPr>
                  </w:pPr>
                  <w:r>
                    <w:rPr>
                      <w:rFonts w:hint="eastAsia"/>
                      <w:lang w:val="en-US" w:eastAsia="zh-CN"/>
                    </w:rPr>
                    <w:t>4</w:t>
                  </w:r>
                </w:p>
              </w:tc>
              <w:tc>
                <w:tcPr>
                  <w:tcW w:w="717" w:type="dxa"/>
                  <w:tcBorders>
                    <w:top w:val="single" w:color="auto" w:sz="4" w:space="0"/>
                    <w:left w:val="single" w:color="auto" w:sz="4" w:space="0"/>
                    <w:bottom w:val="single" w:color="auto" w:sz="4" w:space="0"/>
                    <w:right w:val="single" w:color="auto" w:sz="4" w:space="0"/>
                  </w:tcBorders>
                  <w:shd w:val="clear" w:color="auto" w:fill="auto"/>
                  <w:vAlign w:val="center"/>
                </w:tcPr>
                <w:p w14:paraId="320CD50E">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t>废</w:t>
                  </w:r>
                  <w:r>
                    <w:rPr>
                      <w:rFonts w:hint="eastAsia"/>
                      <w:lang w:eastAsia="zh-CN"/>
                    </w:rPr>
                    <w:t>化学品</w:t>
                  </w:r>
                  <w:r>
                    <w:t>桶</w:t>
                  </w:r>
                </w:p>
              </w:tc>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0C726336">
                  <w:pPr>
                    <w:pStyle w:val="24"/>
                    <w:ind w:left="0" w:leftChars="0" w:right="0" w:rightChars="0" w:firstLine="0" w:firstLineChars="0"/>
                    <w:rPr>
                      <w:rFonts w:hint="default"/>
                      <w:lang w:val="en-US"/>
                    </w:rPr>
                  </w:pPr>
                  <w:r>
                    <w:rPr>
                      <w:rFonts w:hint="default"/>
                    </w:rPr>
                    <w:t>生产过程</w:t>
                  </w:r>
                </w:p>
              </w:tc>
              <w:tc>
                <w:tcPr>
                  <w:tcW w:w="672" w:type="dxa"/>
                  <w:tcBorders>
                    <w:top w:val="single" w:color="auto" w:sz="4" w:space="0"/>
                    <w:left w:val="single" w:color="auto" w:sz="4" w:space="0"/>
                    <w:bottom w:val="single" w:color="auto" w:sz="4" w:space="0"/>
                    <w:right w:val="single" w:color="auto" w:sz="4" w:space="0"/>
                  </w:tcBorders>
                  <w:shd w:val="clear" w:color="auto" w:fill="auto"/>
                  <w:vAlign w:val="center"/>
                </w:tcPr>
                <w:p w14:paraId="297C23DC">
                  <w:pPr>
                    <w:pStyle w:val="24"/>
                    <w:ind w:left="0" w:leftChars="0" w:right="0" w:rightChars="0" w:firstLine="0" w:firstLineChars="0"/>
                    <w:rPr>
                      <w:rFonts w:hint="default"/>
                      <w:lang w:val="en-US"/>
                    </w:rPr>
                  </w:pPr>
                  <w:r>
                    <w:rPr>
                      <w:rFonts w:hint="eastAsia"/>
                      <w:lang w:eastAsia="zh-CN"/>
                    </w:rPr>
                    <w:t>铁</w:t>
                  </w:r>
                </w:p>
              </w:tc>
              <w:tc>
                <w:tcPr>
                  <w:tcW w:w="420" w:type="dxa"/>
                  <w:tcBorders>
                    <w:top w:val="single" w:color="auto" w:sz="4" w:space="0"/>
                    <w:left w:val="single" w:color="auto" w:sz="4" w:space="0"/>
                    <w:bottom w:val="single" w:color="auto" w:sz="4" w:space="0"/>
                    <w:right w:val="single" w:color="auto" w:sz="4" w:space="0"/>
                  </w:tcBorders>
                  <w:shd w:val="clear" w:color="auto" w:fill="auto"/>
                  <w:vAlign w:val="center"/>
                </w:tcPr>
                <w:p w14:paraId="4ACA4E26">
                  <w:pPr>
                    <w:pStyle w:val="24"/>
                    <w:ind w:left="0" w:leftChars="0" w:right="0" w:rightChars="0" w:firstLine="0" w:firstLineChars="0"/>
                    <w:rPr>
                      <w:rFonts w:hint="default"/>
                      <w:lang w:val="en-US"/>
                    </w:rPr>
                  </w:pPr>
                  <w:r>
                    <w:rPr>
                      <w:rFonts w:hint="default"/>
                    </w:rPr>
                    <w:t>固态</w:t>
                  </w:r>
                </w:p>
              </w:tc>
              <w:tc>
                <w:tcPr>
                  <w:tcW w:w="816" w:type="dxa"/>
                  <w:tcBorders>
                    <w:top w:val="nil"/>
                    <w:left w:val="nil"/>
                    <w:bottom w:val="single" w:color="auto" w:sz="4" w:space="0"/>
                    <w:right w:val="single" w:color="auto" w:sz="4" w:space="0"/>
                  </w:tcBorders>
                  <w:shd w:val="clear" w:color="auto" w:fill="auto"/>
                  <w:vAlign w:val="center"/>
                </w:tcPr>
                <w:p w14:paraId="4114DB42">
                  <w:pPr>
                    <w:pStyle w:val="24"/>
                    <w:ind w:left="0" w:leftChars="0" w:right="0" w:rightChars="0" w:firstLine="0" w:firstLineChars="0"/>
                    <w:rPr>
                      <w:rFonts w:hint="default"/>
                      <w:lang w:val="en-US"/>
                    </w:rPr>
                  </w:pPr>
                  <w:r>
                    <w:rPr>
                      <w:rFonts w:hint="eastAsia"/>
                      <w:lang w:val="en-US" w:eastAsia="zh-CN"/>
                    </w:rPr>
                    <w:t>HW08</w:t>
                  </w:r>
                </w:p>
              </w:tc>
              <w:tc>
                <w:tcPr>
                  <w:tcW w:w="1248" w:type="dxa"/>
                  <w:tcBorders>
                    <w:top w:val="nil"/>
                    <w:left w:val="nil"/>
                    <w:bottom w:val="single" w:color="auto" w:sz="4" w:space="0"/>
                    <w:right w:val="single" w:color="auto" w:sz="4" w:space="0"/>
                  </w:tcBorders>
                  <w:shd w:val="clear" w:color="auto" w:fill="auto"/>
                  <w:vAlign w:val="center"/>
                </w:tcPr>
                <w:p w14:paraId="1FDA87E2">
                  <w:pPr>
                    <w:pStyle w:val="24"/>
                    <w:ind w:left="0" w:leftChars="0" w:right="0" w:rightChars="0" w:firstLine="0" w:firstLineChars="0"/>
                    <w:rPr>
                      <w:rFonts w:hint="default"/>
                      <w:lang w:val="en-US"/>
                    </w:rPr>
                  </w:pPr>
                  <w:r>
                    <w:rPr>
                      <w:rFonts w:hint="eastAsia"/>
                      <w:lang w:val="en-US" w:eastAsia="zh-CN"/>
                    </w:rPr>
                    <w:t>900-249-08</w:t>
                  </w:r>
                </w:p>
              </w:tc>
              <w:tc>
                <w:tcPr>
                  <w:tcW w:w="769" w:type="dxa"/>
                  <w:tcBorders>
                    <w:top w:val="single" w:color="auto" w:sz="4" w:space="0"/>
                    <w:left w:val="single" w:color="auto" w:sz="4" w:space="0"/>
                    <w:bottom w:val="single" w:color="auto" w:sz="4" w:space="0"/>
                    <w:right w:val="single" w:color="auto" w:sz="4" w:space="0"/>
                  </w:tcBorders>
                  <w:shd w:val="clear" w:color="auto" w:fill="auto"/>
                  <w:vAlign w:val="center"/>
                </w:tcPr>
                <w:p w14:paraId="33269163">
                  <w:pPr>
                    <w:pStyle w:val="24"/>
                    <w:ind w:left="0" w:leftChars="0" w:right="0" w:rightChars="0" w:firstLine="0" w:firstLineChars="0"/>
                    <w:rPr>
                      <w:rFonts w:hint="default"/>
                      <w:lang w:val="en-US" w:eastAsia="zh-CN"/>
                    </w:rPr>
                  </w:pPr>
                  <w:r>
                    <w:rPr>
                      <w:rFonts w:hint="eastAsia"/>
                      <w:lang w:val="en-US" w:eastAsia="zh-CN"/>
                    </w:rPr>
                    <w:t>0.2</w:t>
                  </w:r>
                </w:p>
              </w:tc>
              <w:tc>
                <w:tcPr>
                  <w:tcW w:w="755" w:type="dxa"/>
                  <w:vMerge w:val="continue"/>
                  <w:tcBorders>
                    <w:left w:val="single" w:color="auto" w:sz="4" w:space="0"/>
                    <w:right w:val="single" w:color="auto" w:sz="4" w:space="0"/>
                  </w:tcBorders>
                  <w:shd w:val="clear" w:color="auto" w:fill="auto"/>
                  <w:vAlign w:val="center"/>
                </w:tcPr>
                <w:p w14:paraId="46522A87">
                  <w:pPr>
                    <w:pStyle w:val="24"/>
                    <w:keepNext w:val="0"/>
                    <w:keepLines w:val="0"/>
                    <w:suppressLineNumbers w:val="0"/>
                    <w:bidi w:val="0"/>
                    <w:spacing w:before="0" w:beforeAutospacing="0" w:after="0" w:afterAutospacing="0"/>
                    <w:ind w:left="0" w:right="0"/>
                    <w:rPr>
                      <w:rFonts w:hint="default"/>
                    </w:rPr>
                  </w:pPr>
                </w:p>
              </w:tc>
              <w:tc>
                <w:tcPr>
                  <w:tcW w:w="900" w:type="dxa"/>
                  <w:tcBorders>
                    <w:top w:val="single" w:color="auto" w:sz="4" w:space="0"/>
                    <w:left w:val="single" w:color="auto" w:sz="4" w:space="0"/>
                    <w:bottom w:val="single" w:color="auto" w:sz="4" w:space="0"/>
                    <w:right w:val="single" w:color="auto" w:sz="4" w:space="0"/>
                  </w:tcBorders>
                  <w:shd w:val="clear" w:color="auto" w:fill="auto"/>
                  <w:vAlign w:val="center"/>
                </w:tcPr>
                <w:p w14:paraId="21AD4117">
                  <w:pPr>
                    <w:pStyle w:val="24"/>
                    <w:ind w:left="0" w:leftChars="0" w:right="0" w:rightChars="0" w:firstLine="0" w:firstLineChars="0"/>
                    <w:rPr>
                      <w:rFonts w:hint="default"/>
                      <w:lang w:val="en-US"/>
                    </w:rPr>
                  </w:pPr>
                  <w:r>
                    <w:rPr>
                      <w:rFonts w:hint="eastAsia"/>
                      <w:lang w:val="en-US" w:eastAsia="zh-CN"/>
                    </w:rPr>
                    <w:t>0.2</w:t>
                  </w:r>
                </w:p>
              </w:tc>
              <w:tc>
                <w:tcPr>
                  <w:tcW w:w="1150" w:type="dxa"/>
                  <w:vMerge w:val="continue"/>
                  <w:tcBorders>
                    <w:left w:val="single" w:color="auto" w:sz="4" w:space="0"/>
                    <w:right w:val="single" w:color="auto" w:sz="4" w:space="0"/>
                  </w:tcBorders>
                  <w:shd w:val="clear" w:color="auto" w:fill="auto"/>
                  <w:vAlign w:val="center"/>
                </w:tcPr>
                <w:p w14:paraId="3D131878">
                  <w:pPr>
                    <w:pStyle w:val="24"/>
                    <w:keepNext w:val="0"/>
                    <w:keepLines w:val="0"/>
                    <w:suppressLineNumbers w:val="0"/>
                    <w:bidi w:val="0"/>
                    <w:spacing w:before="0" w:beforeAutospacing="0" w:after="0" w:afterAutospacing="0"/>
                    <w:ind w:left="0" w:right="0"/>
                    <w:rPr>
                      <w:rFonts w:hint="default"/>
                      <w:lang w:val="en-US"/>
                    </w:rPr>
                  </w:pPr>
                </w:p>
              </w:tc>
            </w:tr>
            <w:tr w14:paraId="46D0F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45"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vAlign w:val="center"/>
                </w:tcPr>
                <w:p w14:paraId="414A39C9">
                  <w:pPr>
                    <w:pStyle w:val="24"/>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kern w:val="2"/>
                      <w:sz w:val="21"/>
                      <w:szCs w:val="20"/>
                      <w:lang w:val="en-US" w:eastAsia="zh-CN" w:bidi="ar-SA"/>
                    </w:rPr>
                  </w:pPr>
                  <w:r>
                    <w:rPr>
                      <w:rFonts w:hint="eastAsia"/>
                      <w:lang w:val="en-US" w:eastAsia="zh-CN"/>
                    </w:rPr>
                    <w:t>5</w:t>
                  </w:r>
                </w:p>
              </w:tc>
              <w:tc>
                <w:tcPr>
                  <w:tcW w:w="717" w:type="dxa"/>
                  <w:tcBorders>
                    <w:top w:val="single" w:color="auto" w:sz="4" w:space="0"/>
                    <w:left w:val="single" w:color="auto" w:sz="4" w:space="0"/>
                    <w:bottom w:val="single" w:color="auto" w:sz="4" w:space="0"/>
                    <w:right w:val="single" w:color="auto" w:sz="4" w:space="0"/>
                  </w:tcBorders>
                  <w:shd w:val="clear" w:color="auto" w:fill="auto"/>
                  <w:vAlign w:val="center"/>
                </w:tcPr>
                <w:p w14:paraId="02A633D8">
                  <w:pPr>
                    <w:pStyle w:val="24"/>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油雾净化器收集的</w:t>
                  </w:r>
                  <w:r>
                    <w:rPr>
                      <w:rFonts w:hint="eastAsia"/>
                      <w:lang w:eastAsia="zh-CN"/>
                    </w:rPr>
                    <w:t>废油</w:t>
                  </w:r>
                </w:p>
              </w:tc>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2F928DB8">
                  <w:pPr>
                    <w:pStyle w:val="24"/>
                    <w:ind w:left="0" w:leftChars="0" w:right="0" w:rightChars="0" w:firstLine="0" w:firstLineChars="0"/>
                    <w:rPr>
                      <w:rFonts w:hint="eastAsia"/>
                      <w:lang w:val="en-US" w:eastAsia="zh-CN"/>
                    </w:rPr>
                  </w:pPr>
                  <w:r>
                    <w:rPr>
                      <w:rFonts w:hint="eastAsia"/>
                      <w:lang w:eastAsia="zh-CN"/>
                    </w:rPr>
                    <w:t>废气处理</w:t>
                  </w:r>
                </w:p>
              </w:tc>
              <w:tc>
                <w:tcPr>
                  <w:tcW w:w="672" w:type="dxa"/>
                  <w:tcBorders>
                    <w:top w:val="single" w:color="auto" w:sz="4" w:space="0"/>
                    <w:left w:val="single" w:color="auto" w:sz="4" w:space="0"/>
                    <w:bottom w:val="single" w:color="auto" w:sz="4" w:space="0"/>
                    <w:right w:val="single" w:color="auto" w:sz="4" w:space="0"/>
                  </w:tcBorders>
                  <w:shd w:val="clear" w:color="auto" w:fill="auto"/>
                  <w:vAlign w:val="center"/>
                </w:tcPr>
                <w:p w14:paraId="61FFFE2C">
                  <w:pPr>
                    <w:pStyle w:val="24"/>
                    <w:ind w:left="0" w:leftChars="0" w:right="0" w:rightChars="0" w:firstLine="0" w:firstLineChars="0"/>
                    <w:rPr>
                      <w:rFonts w:hint="eastAsia"/>
                      <w:lang w:val="en-US" w:eastAsia="zh-CN"/>
                    </w:rPr>
                  </w:pPr>
                  <w:r>
                    <w:rPr>
                      <w:rFonts w:hint="default"/>
                    </w:rPr>
                    <w:t>油</w:t>
                  </w:r>
                </w:p>
              </w:tc>
              <w:tc>
                <w:tcPr>
                  <w:tcW w:w="420" w:type="dxa"/>
                  <w:tcBorders>
                    <w:top w:val="single" w:color="auto" w:sz="4" w:space="0"/>
                    <w:left w:val="single" w:color="auto" w:sz="4" w:space="0"/>
                    <w:bottom w:val="single" w:color="auto" w:sz="4" w:space="0"/>
                    <w:right w:val="single" w:color="auto" w:sz="4" w:space="0"/>
                  </w:tcBorders>
                  <w:shd w:val="clear" w:color="auto" w:fill="auto"/>
                  <w:vAlign w:val="center"/>
                </w:tcPr>
                <w:p w14:paraId="627DFBC8">
                  <w:pPr>
                    <w:pStyle w:val="24"/>
                    <w:ind w:left="0" w:leftChars="0" w:right="0" w:rightChars="0" w:firstLine="0" w:firstLineChars="0"/>
                    <w:rPr>
                      <w:rFonts w:hint="eastAsia"/>
                      <w:lang w:val="en-US" w:eastAsia="zh-CN"/>
                    </w:rPr>
                  </w:pPr>
                  <w:r>
                    <w:rPr>
                      <w:rFonts w:hint="default"/>
                    </w:rPr>
                    <w:t>液态</w:t>
                  </w:r>
                </w:p>
              </w:tc>
              <w:tc>
                <w:tcPr>
                  <w:tcW w:w="816" w:type="dxa"/>
                  <w:tcBorders>
                    <w:top w:val="nil"/>
                    <w:left w:val="nil"/>
                    <w:bottom w:val="single" w:color="auto" w:sz="4" w:space="0"/>
                    <w:right w:val="single" w:color="auto" w:sz="4" w:space="0"/>
                  </w:tcBorders>
                  <w:shd w:val="clear" w:color="auto" w:fill="auto"/>
                  <w:vAlign w:val="center"/>
                </w:tcPr>
                <w:p w14:paraId="0BE88082">
                  <w:pPr>
                    <w:pStyle w:val="24"/>
                    <w:ind w:left="0" w:leftChars="0" w:right="0" w:rightChars="0" w:firstLine="0" w:firstLineChars="0"/>
                    <w:rPr>
                      <w:rFonts w:hint="default"/>
                      <w:lang w:val="en-US" w:eastAsia="zh-CN"/>
                    </w:rPr>
                  </w:pPr>
                  <w:r>
                    <w:rPr>
                      <w:rFonts w:hint="eastAsia"/>
                      <w:lang w:val="en-US" w:eastAsia="zh-CN"/>
                    </w:rPr>
                    <w:t>HW08</w:t>
                  </w:r>
                </w:p>
              </w:tc>
              <w:tc>
                <w:tcPr>
                  <w:tcW w:w="1248" w:type="dxa"/>
                  <w:tcBorders>
                    <w:top w:val="nil"/>
                    <w:left w:val="nil"/>
                    <w:bottom w:val="single" w:color="auto" w:sz="4" w:space="0"/>
                    <w:right w:val="single" w:color="auto" w:sz="4" w:space="0"/>
                  </w:tcBorders>
                  <w:shd w:val="clear" w:color="auto" w:fill="auto"/>
                  <w:vAlign w:val="center"/>
                </w:tcPr>
                <w:p w14:paraId="7E564292">
                  <w:pPr>
                    <w:pStyle w:val="24"/>
                    <w:ind w:left="0" w:leftChars="0" w:right="0" w:rightChars="0" w:firstLine="0" w:firstLineChars="0"/>
                    <w:rPr>
                      <w:rFonts w:hint="default"/>
                      <w:lang w:val="en-US" w:eastAsia="zh-CN"/>
                    </w:rPr>
                  </w:pPr>
                  <w:r>
                    <w:rPr>
                      <w:rFonts w:hint="eastAsia"/>
                      <w:lang w:val="en-US" w:eastAsia="zh-CN"/>
                    </w:rPr>
                    <w:t>900-200-08</w:t>
                  </w:r>
                </w:p>
              </w:tc>
              <w:tc>
                <w:tcPr>
                  <w:tcW w:w="769" w:type="dxa"/>
                  <w:tcBorders>
                    <w:top w:val="single" w:color="auto" w:sz="4" w:space="0"/>
                    <w:left w:val="single" w:color="auto" w:sz="4" w:space="0"/>
                    <w:bottom w:val="single" w:color="auto" w:sz="4" w:space="0"/>
                    <w:right w:val="single" w:color="auto" w:sz="4" w:space="0"/>
                  </w:tcBorders>
                  <w:shd w:val="clear" w:color="auto" w:fill="auto"/>
                  <w:vAlign w:val="center"/>
                </w:tcPr>
                <w:p w14:paraId="75188B99">
                  <w:pPr>
                    <w:pStyle w:val="24"/>
                    <w:ind w:left="0" w:leftChars="0" w:right="0" w:rightChars="0" w:firstLine="0" w:firstLineChars="0"/>
                    <w:rPr>
                      <w:rFonts w:hint="default"/>
                      <w:lang w:val="en-US" w:eastAsia="zh-CN"/>
                    </w:rPr>
                  </w:pPr>
                  <w:r>
                    <w:rPr>
                      <w:rFonts w:hint="eastAsia"/>
                      <w:lang w:val="en-US" w:eastAsia="zh-CN"/>
                    </w:rPr>
                    <w:t>0.0442</w:t>
                  </w:r>
                </w:p>
              </w:tc>
              <w:tc>
                <w:tcPr>
                  <w:tcW w:w="755" w:type="dxa"/>
                  <w:vMerge w:val="continue"/>
                  <w:tcBorders>
                    <w:left w:val="single" w:color="auto" w:sz="4" w:space="0"/>
                    <w:right w:val="single" w:color="auto" w:sz="4" w:space="0"/>
                  </w:tcBorders>
                  <w:shd w:val="clear" w:color="auto" w:fill="auto"/>
                  <w:vAlign w:val="center"/>
                </w:tcPr>
                <w:p w14:paraId="6831BAF9">
                  <w:pPr>
                    <w:pStyle w:val="24"/>
                    <w:keepNext w:val="0"/>
                    <w:keepLines w:val="0"/>
                    <w:suppressLineNumbers w:val="0"/>
                    <w:bidi w:val="0"/>
                    <w:spacing w:before="0" w:beforeAutospacing="0" w:after="0" w:afterAutospacing="0"/>
                    <w:ind w:left="0" w:right="0"/>
                    <w:rPr>
                      <w:rFonts w:hint="default"/>
                    </w:rPr>
                  </w:pPr>
                </w:p>
              </w:tc>
              <w:tc>
                <w:tcPr>
                  <w:tcW w:w="900" w:type="dxa"/>
                  <w:tcBorders>
                    <w:top w:val="single" w:color="auto" w:sz="4" w:space="0"/>
                    <w:left w:val="single" w:color="auto" w:sz="4" w:space="0"/>
                    <w:bottom w:val="single" w:color="auto" w:sz="4" w:space="0"/>
                    <w:right w:val="single" w:color="auto" w:sz="4" w:space="0"/>
                  </w:tcBorders>
                  <w:shd w:val="clear" w:color="auto" w:fill="auto"/>
                  <w:vAlign w:val="center"/>
                </w:tcPr>
                <w:p w14:paraId="0EE20927">
                  <w:pPr>
                    <w:pStyle w:val="24"/>
                    <w:ind w:left="0" w:leftChars="0" w:right="0" w:rightChars="0" w:firstLine="0" w:firstLineChars="0"/>
                    <w:rPr>
                      <w:rFonts w:hint="default"/>
                      <w:lang w:val="en-US" w:eastAsia="zh-CN"/>
                    </w:rPr>
                  </w:pPr>
                  <w:r>
                    <w:rPr>
                      <w:rFonts w:hint="eastAsia"/>
                      <w:lang w:val="en-US" w:eastAsia="zh-CN"/>
                    </w:rPr>
                    <w:t>0.0442</w:t>
                  </w:r>
                </w:p>
              </w:tc>
              <w:tc>
                <w:tcPr>
                  <w:tcW w:w="1150" w:type="dxa"/>
                  <w:vMerge w:val="continue"/>
                  <w:tcBorders>
                    <w:left w:val="single" w:color="auto" w:sz="4" w:space="0"/>
                    <w:right w:val="single" w:color="auto" w:sz="4" w:space="0"/>
                  </w:tcBorders>
                  <w:shd w:val="clear" w:color="auto" w:fill="auto"/>
                  <w:vAlign w:val="center"/>
                </w:tcPr>
                <w:p w14:paraId="28ABFF46">
                  <w:pPr>
                    <w:pStyle w:val="24"/>
                    <w:keepNext w:val="0"/>
                    <w:keepLines w:val="0"/>
                    <w:suppressLineNumbers w:val="0"/>
                    <w:bidi w:val="0"/>
                    <w:spacing w:before="0" w:beforeAutospacing="0" w:after="0" w:afterAutospacing="0"/>
                    <w:ind w:left="0" w:right="0"/>
                    <w:rPr>
                      <w:rFonts w:hint="eastAsia"/>
                      <w:lang w:val="en-US" w:eastAsia="zh-CN"/>
                    </w:rPr>
                  </w:pPr>
                </w:p>
              </w:tc>
            </w:tr>
            <w:tr w14:paraId="2AF7B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45"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vAlign w:val="center"/>
                </w:tcPr>
                <w:p w14:paraId="55D48127">
                  <w:pPr>
                    <w:pStyle w:val="24"/>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kern w:val="2"/>
                      <w:sz w:val="21"/>
                      <w:szCs w:val="20"/>
                      <w:lang w:val="en-US" w:eastAsia="zh-CN" w:bidi="ar-SA"/>
                    </w:rPr>
                  </w:pPr>
                  <w:r>
                    <w:rPr>
                      <w:rFonts w:hint="eastAsia"/>
                      <w:lang w:val="en-US" w:eastAsia="zh-CN"/>
                    </w:rPr>
                    <w:t>6</w:t>
                  </w:r>
                </w:p>
              </w:tc>
              <w:tc>
                <w:tcPr>
                  <w:tcW w:w="717" w:type="dxa"/>
                  <w:tcBorders>
                    <w:top w:val="single" w:color="auto" w:sz="4" w:space="0"/>
                    <w:left w:val="single" w:color="auto" w:sz="4" w:space="0"/>
                    <w:bottom w:val="single" w:color="auto" w:sz="4" w:space="0"/>
                    <w:right w:val="single" w:color="auto" w:sz="4" w:space="0"/>
                  </w:tcBorders>
                  <w:shd w:val="clear" w:color="auto" w:fill="auto"/>
                  <w:vAlign w:val="center"/>
                </w:tcPr>
                <w:p w14:paraId="0C0C6ADE">
                  <w:pPr>
                    <w:pStyle w:val="24"/>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含油污泥</w:t>
                  </w:r>
                </w:p>
              </w:tc>
              <w:tc>
                <w:tcPr>
                  <w:tcW w:w="705" w:type="dxa"/>
                  <w:tcBorders>
                    <w:top w:val="single" w:color="auto" w:sz="4" w:space="0"/>
                    <w:left w:val="single" w:color="auto" w:sz="4" w:space="0"/>
                    <w:right w:val="single" w:color="auto" w:sz="4" w:space="0"/>
                  </w:tcBorders>
                  <w:shd w:val="clear" w:color="auto" w:fill="auto"/>
                  <w:vAlign w:val="center"/>
                </w:tcPr>
                <w:p w14:paraId="2F3F963E">
                  <w:pPr>
                    <w:pStyle w:val="24"/>
                    <w:ind w:left="0" w:leftChars="0" w:right="0" w:rightChars="0" w:firstLine="0" w:firstLineChars="0"/>
                    <w:jc w:val="center"/>
                    <w:rPr>
                      <w:rFonts w:hint="default"/>
                      <w:lang w:val="en-US" w:eastAsia="zh-CN"/>
                    </w:rPr>
                  </w:pPr>
                  <w:r>
                    <w:rPr>
                      <w:rFonts w:hint="eastAsia"/>
                      <w:lang w:eastAsia="zh-CN"/>
                    </w:rPr>
                    <w:t>废水</w:t>
                  </w:r>
                  <w:r>
                    <w:rPr>
                      <w:rFonts w:hint="default"/>
                      <w:lang w:eastAsia="zh-CN"/>
                    </w:rPr>
                    <w:t>处理</w:t>
                  </w:r>
                </w:p>
              </w:tc>
              <w:tc>
                <w:tcPr>
                  <w:tcW w:w="672" w:type="dxa"/>
                  <w:tcBorders>
                    <w:top w:val="single" w:color="auto" w:sz="4" w:space="0"/>
                    <w:left w:val="single" w:color="auto" w:sz="4" w:space="0"/>
                    <w:right w:val="single" w:color="auto" w:sz="4" w:space="0"/>
                  </w:tcBorders>
                  <w:shd w:val="clear" w:color="auto" w:fill="auto"/>
                  <w:vAlign w:val="center"/>
                </w:tcPr>
                <w:p w14:paraId="1437A259">
                  <w:pPr>
                    <w:pStyle w:val="24"/>
                    <w:ind w:left="0" w:leftChars="0" w:right="0" w:rightChars="0" w:firstLine="0" w:firstLineChars="0"/>
                    <w:rPr>
                      <w:rFonts w:hint="default"/>
                      <w:lang w:val="en-US" w:eastAsia="zh-CN"/>
                    </w:rPr>
                  </w:pPr>
                  <w:r>
                    <w:rPr>
                      <w:rFonts w:hint="eastAsia"/>
                      <w:lang w:eastAsia="zh-CN"/>
                    </w:rPr>
                    <w:t>油泥</w:t>
                  </w:r>
                </w:p>
              </w:tc>
              <w:tc>
                <w:tcPr>
                  <w:tcW w:w="420" w:type="dxa"/>
                  <w:tcBorders>
                    <w:top w:val="single" w:color="auto" w:sz="4" w:space="0"/>
                    <w:left w:val="single" w:color="auto" w:sz="4" w:space="0"/>
                    <w:right w:val="single" w:color="auto" w:sz="4" w:space="0"/>
                  </w:tcBorders>
                  <w:shd w:val="clear" w:color="auto" w:fill="auto"/>
                  <w:vAlign w:val="center"/>
                </w:tcPr>
                <w:p w14:paraId="41EEDDB3">
                  <w:pPr>
                    <w:pStyle w:val="24"/>
                    <w:ind w:left="0" w:leftChars="0" w:right="0" w:rightChars="0" w:firstLine="0" w:firstLineChars="0"/>
                    <w:jc w:val="center"/>
                    <w:rPr>
                      <w:rFonts w:hint="default"/>
                      <w:lang w:val="en-US" w:eastAsia="zh-CN"/>
                    </w:rPr>
                  </w:pPr>
                  <w:r>
                    <w:rPr>
                      <w:rFonts w:hint="default"/>
                      <w:lang w:eastAsia="zh-CN"/>
                    </w:rPr>
                    <w:t>固态</w:t>
                  </w:r>
                </w:p>
              </w:tc>
              <w:tc>
                <w:tcPr>
                  <w:tcW w:w="816" w:type="dxa"/>
                  <w:tcBorders>
                    <w:top w:val="single" w:color="auto" w:sz="4" w:space="0"/>
                    <w:left w:val="nil"/>
                    <w:right w:val="single" w:color="auto" w:sz="4" w:space="0"/>
                  </w:tcBorders>
                  <w:shd w:val="clear" w:color="auto" w:fill="auto"/>
                  <w:vAlign w:val="center"/>
                </w:tcPr>
                <w:p w14:paraId="5DCF2175">
                  <w:pPr>
                    <w:pStyle w:val="24"/>
                    <w:ind w:left="0" w:leftChars="0" w:right="0" w:rightChars="0" w:firstLine="0" w:firstLineChars="0"/>
                    <w:rPr>
                      <w:rFonts w:hint="default"/>
                      <w:lang w:val="en-US" w:eastAsia="zh-CN"/>
                    </w:rPr>
                  </w:pPr>
                  <w:r>
                    <w:rPr>
                      <w:rFonts w:hint="default"/>
                    </w:rPr>
                    <w:t>HW08</w:t>
                  </w:r>
                </w:p>
              </w:tc>
              <w:tc>
                <w:tcPr>
                  <w:tcW w:w="1248" w:type="dxa"/>
                  <w:tcBorders>
                    <w:top w:val="single" w:color="auto" w:sz="4" w:space="0"/>
                    <w:left w:val="nil"/>
                    <w:right w:val="single" w:color="auto" w:sz="4" w:space="0"/>
                  </w:tcBorders>
                  <w:shd w:val="clear" w:color="auto" w:fill="auto"/>
                  <w:vAlign w:val="center"/>
                </w:tcPr>
                <w:p w14:paraId="1825E0D1">
                  <w:pPr>
                    <w:pStyle w:val="24"/>
                    <w:ind w:left="0" w:leftChars="0" w:right="0" w:rightChars="0" w:firstLine="0" w:firstLineChars="0"/>
                    <w:rPr>
                      <w:rFonts w:hint="default"/>
                      <w:lang w:val="en-US" w:eastAsia="zh-CN"/>
                    </w:rPr>
                  </w:pPr>
                  <w:r>
                    <w:rPr>
                      <w:rFonts w:hint="default"/>
                    </w:rPr>
                    <w:t>900-2</w:t>
                  </w:r>
                  <w:r>
                    <w:rPr>
                      <w:rFonts w:hint="eastAsia"/>
                      <w:lang w:val="en-US" w:eastAsia="zh-CN"/>
                    </w:rPr>
                    <w:t>1</w:t>
                  </w:r>
                  <w:r>
                    <w:rPr>
                      <w:rFonts w:hint="default"/>
                    </w:rPr>
                    <w:t xml:space="preserve">0-08 </w:t>
                  </w:r>
                </w:p>
              </w:tc>
              <w:tc>
                <w:tcPr>
                  <w:tcW w:w="769" w:type="dxa"/>
                  <w:tcBorders>
                    <w:top w:val="single" w:color="auto" w:sz="4" w:space="0"/>
                    <w:left w:val="single" w:color="auto" w:sz="4" w:space="0"/>
                    <w:right w:val="single" w:color="auto" w:sz="4" w:space="0"/>
                  </w:tcBorders>
                  <w:shd w:val="clear" w:color="auto" w:fill="auto"/>
                  <w:vAlign w:val="center"/>
                </w:tcPr>
                <w:p w14:paraId="39EF300A">
                  <w:pPr>
                    <w:pStyle w:val="24"/>
                    <w:ind w:left="0" w:leftChars="0" w:right="0" w:rightChars="0" w:firstLine="0" w:firstLineChars="0"/>
                    <w:rPr>
                      <w:rFonts w:hint="default"/>
                      <w:lang w:val="en-US" w:eastAsia="zh-CN"/>
                    </w:rPr>
                  </w:pPr>
                  <w:r>
                    <w:rPr>
                      <w:rFonts w:hint="eastAsia"/>
                      <w:lang w:val="en-US" w:eastAsia="zh-CN"/>
                    </w:rPr>
                    <w:t>0.3</w:t>
                  </w:r>
                </w:p>
              </w:tc>
              <w:tc>
                <w:tcPr>
                  <w:tcW w:w="755" w:type="dxa"/>
                  <w:vMerge w:val="continue"/>
                  <w:tcBorders>
                    <w:left w:val="single" w:color="auto" w:sz="4" w:space="0"/>
                    <w:right w:val="single" w:color="auto" w:sz="4" w:space="0"/>
                  </w:tcBorders>
                  <w:shd w:val="clear" w:color="auto" w:fill="auto"/>
                  <w:vAlign w:val="center"/>
                </w:tcPr>
                <w:p w14:paraId="2B3ABE6C">
                  <w:pPr>
                    <w:pStyle w:val="24"/>
                    <w:keepNext w:val="0"/>
                    <w:keepLines w:val="0"/>
                    <w:suppressLineNumbers w:val="0"/>
                    <w:bidi w:val="0"/>
                    <w:spacing w:before="0" w:beforeAutospacing="0" w:after="0" w:afterAutospacing="0"/>
                    <w:ind w:left="0" w:right="0"/>
                    <w:rPr>
                      <w:rFonts w:hint="default"/>
                    </w:rPr>
                  </w:pPr>
                </w:p>
              </w:tc>
              <w:tc>
                <w:tcPr>
                  <w:tcW w:w="900" w:type="dxa"/>
                  <w:tcBorders>
                    <w:top w:val="single" w:color="auto" w:sz="4" w:space="0"/>
                    <w:left w:val="single" w:color="auto" w:sz="4" w:space="0"/>
                    <w:right w:val="single" w:color="auto" w:sz="4" w:space="0"/>
                  </w:tcBorders>
                  <w:shd w:val="clear" w:color="auto" w:fill="auto"/>
                  <w:vAlign w:val="center"/>
                </w:tcPr>
                <w:p w14:paraId="2B0118DE">
                  <w:pPr>
                    <w:pStyle w:val="24"/>
                    <w:ind w:left="0" w:leftChars="0" w:right="0" w:rightChars="0" w:firstLine="0" w:firstLineChars="0"/>
                    <w:rPr>
                      <w:rFonts w:hint="default"/>
                      <w:lang w:val="en-US"/>
                    </w:rPr>
                  </w:pPr>
                  <w:r>
                    <w:rPr>
                      <w:rFonts w:hint="eastAsia"/>
                      <w:lang w:val="en-US" w:eastAsia="zh-CN"/>
                    </w:rPr>
                    <w:t>0.3</w:t>
                  </w:r>
                </w:p>
              </w:tc>
              <w:tc>
                <w:tcPr>
                  <w:tcW w:w="1150" w:type="dxa"/>
                  <w:vMerge w:val="continue"/>
                  <w:tcBorders>
                    <w:left w:val="single" w:color="auto" w:sz="4" w:space="0"/>
                    <w:bottom w:val="single" w:color="auto" w:sz="4" w:space="0"/>
                    <w:right w:val="single" w:color="auto" w:sz="4" w:space="0"/>
                  </w:tcBorders>
                  <w:shd w:val="clear" w:color="auto" w:fill="auto"/>
                  <w:vAlign w:val="center"/>
                </w:tcPr>
                <w:p w14:paraId="09A17D23">
                  <w:pPr>
                    <w:pStyle w:val="24"/>
                    <w:keepNext w:val="0"/>
                    <w:keepLines w:val="0"/>
                    <w:suppressLineNumbers w:val="0"/>
                    <w:bidi w:val="0"/>
                    <w:spacing w:before="0" w:beforeAutospacing="0" w:after="0" w:afterAutospacing="0"/>
                    <w:ind w:left="0" w:right="0"/>
                    <w:rPr>
                      <w:rFonts w:hint="default"/>
                    </w:rPr>
                  </w:pPr>
                </w:p>
              </w:tc>
            </w:tr>
          </w:tbl>
          <w:p w14:paraId="1AEE6B1F">
            <w:pPr>
              <w:keepNext w:val="0"/>
              <w:keepLines w:val="0"/>
              <w:widowControl/>
              <w:suppressLineNumbers w:val="0"/>
              <w:adjustRightInd w:val="0"/>
              <w:snapToGrid w:val="0"/>
              <w:spacing w:before="0" w:beforeAutospacing="0" w:after="0" w:afterAutospacing="0" w:line="440" w:lineRule="exact"/>
              <w:ind w:left="0" w:leftChars="0" w:right="0" w:firstLine="0" w:firstLineChars="0"/>
              <w:jc w:val="both"/>
              <w:rPr>
                <w:rFonts w:hint="default"/>
                <w:vanish/>
                <w:lang w:val="en-US"/>
              </w:rPr>
            </w:pPr>
          </w:p>
          <w:p w14:paraId="5809A991">
            <w:pPr>
              <w:keepNext w:val="0"/>
              <w:keepLines w:val="0"/>
              <w:widowControl/>
              <w:suppressLineNumbers w:val="0"/>
              <w:adjustRightInd w:val="0"/>
              <w:snapToGrid w:val="0"/>
              <w:spacing w:before="0" w:beforeAutospacing="0" w:after="0" w:afterAutospacing="0" w:line="360" w:lineRule="auto"/>
              <w:ind w:left="0" w:leftChars="0" w:right="0" w:firstLine="0" w:firstLineChars="0"/>
              <w:jc w:val="center"/>
              <w:rPr>
                <w:rFonts w:hint="eastAsia" w:cs="Times New Roman" w:asciiTheme="minorEastAsia" w:hAnsiTheme="minorEastAsia" w:eastAsiaTheme="minorEastAsia"/>
                <w:b/>
                <w:color w:val="000000"/>
                <w:kern w:val="0"/>
                <w:sz w:val="24"/>
                <w:szCs w:val="24"/>
                <w:lang w:eastAsia="zh-CN"/>
              </w:rPr>
            </w:pPr>
            <w:r>
              <w:rPr>
                <w:rFonts w:hint="eastAsia" w:cs="Times New Roman" w:asciiTheme="minorEastAsia" w:hAnsiTheme="minorEastAsia" w:eastAsiaTheme="minorEastAsia"/>
                <w:b/>
                <w:color w:val="000000"/>
                <w:kern w:val="0"/>
                <w:sz w:val="24"/>
                <w:szCs w:val="24"/>
                <w:lang w:eastAsia="zh-CN"/>
              </w:rPr>
              <w:drawing>
                <wp:inline distT="0" distB="0" distL="114300" distR="114300">
                  <wp:extent cx="4449445" cy="3335655"/>
                  <wp:effectExtent l="0" t="0" r="8255" b="17145"/>
                  <wp:docPr id="4" name="图片 4" descr="05b5ff14600224214df7bb8476edd3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5b5ff14600224214df7bb8476edd3af"/>
                          <pic:cNvPicPr>
                            <a:picLocks noChangeAspect="1"/>
                          </pic:cNvPicPr>
                        </pic:nvPicPr>
                        <pic:blipFill>
                          <a:blip r:embed="rId16"/>
                          <a:stretch>
                            <a:fillRect/>
                          </a:stretch>
                        </pic:blipFill>
                        <pic:spPr>
                          <a:xfrm>
                            <a:off x="0" y="0"/>
                            <a:ext cx="4449445" cy="3335655"/>
                          </a:xfrm>
                          <a:prstGeom prst="rect">
                            <a:avLst/>
                          </a:prstGeom>
                        </pic:spPr>
                      </pic:pic>
                    </a:graphicData>
                  </a:graphic>
                </wp:inline>
              </w:drawing>
            </w:r>
          </w:p>
          <w:p w14:paraId="3C5F6769">
            <w:pPr>
              <w:pStyle w:val="25"/>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图3-5 危险废物暂存库</w:t>
            </w:r>
          </w:p>
          <w:p w14:paraId="674C469F">
            <w:pPr>
              <w:keepNext w:val="0"/>
              <w:keepLines w:val="0"/>
              <w:widowControl/>
              <w:suppressLineNumbers w:val="0"/>
              <w:adjustRightInd w:val="0"/>
              <w:snapToGrid w:val="0"/>
              <w:spacing w:before="0" w:beforeAutospacing="0" w:after="0" w:afterAutospacing="0" w:line="360" w:lineRule="auto"/>
              <w:ind w:left="0" w:leftChars="0" w:right="0" w:firstLine="0" w:firstLineChars="0"/>
              <w:jc w:val="center"/>
              <w:rPr>
                <w:rFonts w:hint="default" w:cs="Times New Roman" w:asciiTheme="minorEastAsia" w:hAnsiTheme="minorEastAsia"/>
                <w:b/>
                <w:color w:val="000000"/>
                <w:kern w:val="0"/>
                <w:sz w:val="24"/>
                <w:szCs w:val="24"/>
                <w:lang w:val="en-US" w:eastAsia="zh-CN"/>
              </w:rPr>
            </w:pPr>
            <w:r>
              <w:rPr>
                <w:rFonts w:hint="default" w:cs="Times New Roman" w:asciiTheme="minorEastAsia" w:hAnsiTheme="minorEastAsia"/>
                <w:b/>
                <w:color w:val="000000"/>
                <w:kern w:val="0"/>
                <w:sz w:val="24"/>
                <w:szCs w:val="24"/>
                <w:lang w:val="en-US" w:eastAsia="zh-CN"/>
              </w:rPr>
              <w:drawing>
                <wp:inline distT="0" distB="0" distL="114300" distR="114300">
                  <wp:extent cx="4451350" cy="3336925"/>
                  <wp:effectExtent l="0" t="0" r="6350" b="15875"/>
                  <wp:docPr id="6" name="图片 6" descr="662ec045ac3f7b271a2f738df7fb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662ec045ac3f7b271a2f738df7fb6345"/>
                          <pic:cNvPicPr>
                            <a:picLocks noChangeAspect="1"/>
                          </pic:cNvPicPr>
                        </pic:nvPicPr>
                        <pic:blipFill>
                          <a:blip r:embed="rId17"/>
                          <a:stretch>
                            <a:fillRect/>
                          </a:stretch>
                        </pic:blipFill>
                        <pic:spPr>
                          <a:xfrm>
                            <a:off x="0" y="0"/>
                            <a:ext cx="4451350" cy="3336925"/>
                          </a:xfrm>
                          <a:prstGeom prst="rect">
                            <a:avLst/>
                          </a:prstGeom>
                        </pic:spPr>
                      </pic:pic>
                    </a:graphicData>
                  </a:graphic>
                </wp:inline>
              </w:drawing>
            </w:r>
          </w:p>
          <w:p w14:paraId="4F01CF9E">
            <w:pPr>
              <w:pStyle w:val="25"/>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图3-6 一般固废暂存处</w:t>
            </w:r>
          </w:p>
          <w:p w14:paraId="7AA73342">
            <w:pPr>
              <w:keepNext w:val="0"/>
              <w:keepLines w:val="0"/>
              <w:widowControl/>
              <w:suppressLineNumbers w:val="0"/>
              <w:adjustRightInd w:val="0"/>
              <w:snapToGrid w:val="0"/>
              <w:spacing w:before="0" w:beforeAutospacing="0" w:after="0" w:afterAutospacing="0" w:line="360" w:lineRule="auto"/>
              <w:ind w:left="0" w:right="0"/>
              <w:jc w:val="left"/>
              <w:rPr>
                <w:rFonts w:hint="default" w:ascii="Tahoma" w:hAnsi="Tahoma" w:eastAsia="仿宋_GB2312" w:cs="Times New Roman"/>
                <w:color w:val="000000"/>
                <w:kern w:val="0"/>
                <w:sz w:val="24"/>
                <w:szCs w:val="24"/>
              </w:rPr>
            </w:pPr>
            <w:r>
              <w:rPr>
                <w:rFonts w:hint="eastAsia" w:ascii="Times New Roman" w:hAnsi="Times New Roman" w:eastAsia="宋体"/>
                <w:b/>
                <w:sz w:val="24"/>
                <w:szCs w:val="32"/>
              </w:rPr>
              <w:t>3.1.4噪声</w:t>
            </w:r>
          </w:p>
          <w:p w14:paraId="020771FC">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本次验收项目建成运行期间，基地噪声主要来自各车间的机械设备噪声，其单台声压级大部分在75~85dB(A)之间。项目主要噪声源强汇总情况见下表。</w:t>
            </w:r>
          </w:p>
          <w:p w14:paraId="1DC6D90E">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sz w:val="24"/>
                <w:szCs w:val="24"/>
                <w:lang w:val="en-US" w:eastAsia="zh-CN" w:bidi="ar"/>
              </w:rPr>
            </w:pPr>
          </w:p>
          <w:p w14:paraId="613A1A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表3-</w:t>
            </w:r>
            <w:r>
              <w:rPr>
                <w:rFonts w:hint="eastAsia" w:ascii="Times New Roman" w:hAnsi="Times New Roman" w:eastAsia="宋体" w:cs="Times New Roman"/>
                <w:b/>
                <w:sz w:val="24"/>
                <w:szCs w:val="24"/>
                <w:lang w:val="en-US" w:eastAsia="zh-CN"/>
              </w:rPr>
              <w:t xml:space="preserve">6 </w:t>
            </w:r>
            <w:r>
              <w:rPr>
                <w:rFonts w:hint="default" w:ascii="Times New Roman" w:hAnsi="Times New Roman" w:eastAsia="宋体" w:cs="Times New Roman"/>
                <w:b/>
                <w:sz w:val="24"/>
                <w:szCs w:val="24"/>
              </w:rPr>
              <w:t>噪声产生情况一览表</w:t>
            </w:r>
          </w:p>
          <w:tbl>
            <w:tblPr>
              <w:tblStyle w:val="19"/>
              <w:tblW w:w="85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7"/>
              <w:gridCol w:w="1660"/>
              <w:gridCol w:w="943"/>
              <w:gridCol w:w="749"/>
              <w:gridCol w:w="795"/>
              <w:gridCol w:w="919"/>
              <w:gridCol w:w="966"/>
              <w:gridCol w:w="1876"/>
            </w:tblGrid>
            <w:tr w14:paraId="6B7B1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687" w:type="dxa"/>
                  <w:noWrap/>
                  <w:vAlign w:val="center"/>
                </w:tcPr>
                <w:p w14:paraId="170D9310">
                  <w:pPr>
                    <w:pStyle w:val="24"/>
                    <w:keepNext w:val="0"/>
                    <w:keepLines w:val="0"/>
                    <w:suppressLineNumbers w:val="0"/>
                    <w:bidi w:val="0"/>
                    <w:spacing w:before="0" w:beforeAutospacing="0" w:after="0" w:afterAutospacing="0"/>
                    <w:ind w:left="0" w:right="0"/>
                    <w:rPr>
                      <w:rFonts w:hint="default"/>
                    </w:rPr>
                  </w:pPr>
                  <w:r>
                    <w:rPr>
                      <w:rFonts w:hint="default"/>
                    </w:rPr>
                    <w:t>编号</w:t>
                  </w:r>
                </w:p>
              </w:tc>
              <w:tc>
                <w:tcPr>
                  <w:tcW w:w="1660" w:type="dxa"/>
                  <w:noWrap w:val="0"/>
                  <w:vAlign w:val="center"/>
                </w:tcPr>
                <w:p w14:paraId="65E21082">
                  <w:pPr>
                    <w:pStyle w:val="24"/>
                    <w:keepNext w:val="0"/>
                    <w:keepLines w:val="0"/>
                    <w:suppressLineNumbers w:val="0"/>
                    <w:bidi w:val="0"/>
                    <w:spacing w:before="0" w:beforeAutospacing="0" w:after="0" w:afterAutospacing="0"/>
                    <w:ind w:left="0" w:right="0"/>
                    <w:rPr>
                      <w:rFonts w:hint="default"/>
                    </w:rPr>
                  </w:pPr>
                  <w:r>
                    <w:rPr>
                      <w:rFonts w:hint="default"/>
                    </w:rPr>
                    <w:t>设备名称</w:t>
                  </w:r>
                </w:p>
              </w:tc>
              <w:tc>
                <w:tcPr>
                  <w:tcW w:w="943" w:type="dxa"/>
                  <w:noWrap w:val="0"/>
                  <w:vAlign w:val="center"/>
                </w:tcPr>
                <w:p w14:paraId="4CDECD6C">
                  <w:pPr>
                    <w:pStyle w:val="24"/>
                    <w:keepNext w:val="0"/>
                    <w:keepLines w:val="0"/>
                    <w:suppressLineNumbers w:val="0"/>
                    <w:bidi w:val="0"/>
                    <w:spacing w:before="0" w:beforeAutospacing="0" w:after="0" w:afterAutospacing="0"/>
                    <w:ind w:left="0" w:right="0"/>
                    <w:rPr>
                      <w:rFonts w:hint="default"/>
                    </w:rPr>
                  </w:pPr>
                  <w:r>
                    <w:rPr>
                      <w:rFonts w:hint="default"/>
                    </w:rPr>
                    <w:t>数量（台）</w:t>
                  </w:r>
                </w:p>
              </w:tc>
              <w:tc>
                <w:tcPr>
                  <w:tcW w:w="749" w:type="dxa"/>
                  <w:noWrap w:val="0"/>
                  <w:vAlign w:val="center"/>
                </w:tcPr>
                <w:p w14:paraId="2B183588">
                  <w:pPr>
                    <w:pStyle w:val="24"/>
                    <w:keepNext w:val="0"/>
                    <w:keepLines w:val="0"/>
                    <w:suppressLineNumbers w:val="0"/>
                    <w:bidi w:val="0"/>
                    <w:spacing w:before="0" w:beforeAutospacing="0" w:after="0" w:afterAutospacing="0"/>
                    <w:ind w:left="0" w:right="0"/>
                    <w:rPr>
                      <w:rFonts w:hint="default"/>
                    </w:rPr>
                  </w:pPr>
                  <w:r>
                    <w:rPr>
                      <w:rFonts w:hint="default"/>
                    </w:rPr>
                    <w:t>声源位置</w:t>
                  </w:r>
                </w:p>
              </w:tc>
              <w:tc>
                <w:tcPr>
                  <w:tcW w:w="795" w:type="dxa"/>
                  <w:noWrap w:val="0"/>
                  <w:vAlign w:val="center"/>
                </w:tcPr>
                <w:p w14:paraId="74F5227C">
                  <w:pPr>
                    <w:pStyle w:val="24"/>
                    <w:keepNext w:val="0"/>
                    <w:keepLines w:val="0"/>
                    <w:suppressLineNumbers w:val="0"/>
                    <w:bidi w:val="0"/>
                    <w:spacing w:before="0" w:beforeAutospacing="0" w:after="0" w:afterAutospacing="0"/>
                    <w:ind w:left="0" w:right="0"/>
                    <w:rPr>
                      <w:rFonts w:hint="default"/>
                    </w:rPr>
                  </w:pPr>
                  <w:r>
                    <w:rPr>
                      <w:rFonts w:hint="default"/>
                    </w:rPr>
                    <w:t>排放方式</w:t>
                  </w:r>
                </w:p>
              </w:tc>
              <w:tc>
                <w:tcPr>
                  <w:tcW w:w="919" w:type="dxa"/>
                  <w:noWrap w:val="0"/>
                  <w:vAlign w:val="center"/>
                </w:tcPr>
                <w:p w14:paraId="5C7BCA3B">
                  <w:pPr>
                    <w:pStyle w:val="24"/>
                    <w:keepNext w:val="0"/>
                    <w:keepLines w:val="0"/>
                    <w:suppressLineNumbers w:val="0"/>
                    <w:bidi w:val="0"/>
                    <w:spacing w:before="0" w:beforeAutospacing="0" w:after="0" w:afterAutospacing="0"/>
                    <w:ind w:left="0" w:right="0"/>
                    <w:rPr>
                      <w:rFonts w:hint="default"/>
                    </w:rPr>
                  </w:pPr>
                  <w:r>
                    <w:rPr>
                      <w:rFonts w:hint="default"/>
                    </w:rPr>
                    <w:t>排放</w:t>
                  </w:r>
                </w:p>
                <w:p w14:paraId="3750DFA6">
                  <w:pPr>
                    <w:pStyle w:val="24"/>
                    <w:keepNext w:val="0"/>
                    <w:keepLines w:val="0"/>
                    <w:suppressLineNumbers w:val="0"/>
                    <w:bidi w:val="0"/>
                    <w:spacing w:before="0" w:beforeAutospacing="0" w:after="0" w:afterAutospacing="0"/>
                    <w:ind w:left="0" w:right="0"/>
                    <w:rPr>
                      <w:rFonts w:hint="eastAsia" w:eastAsia="宋体"/>
                      <w:lang w:eastAsia="zh-CN"/>
                    </w:rPr>
                  </w:pPr>
                  <w:r>
                    <w:rPr>
                      <w:rFonts w:hint="eastAsia"/>
                      <w:lang w:val="en-US" w:eastAsia="zh-CN"/>
                    </w:rPr>
                    <w:t>时间</w:t>
                  </w:r>
                </w:p>
              </w:tc>
              <w:tc>
                <w:tcPr>
                  <w:tcW w:w="966" w:type="dxa"/>
                  <w:noWrap w:val="0"/>
                  <w:vAlign w:val="center"/>
                </w:tcPr>
                <w:p w14:paraId="743ACA89">
                  <w:pPr>
                    <w:pStyle w:val="2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产生</w:t>
                  </w:r>
                </w:p>
                <w:p w14:paraId="60CB94CE">
                  <w:pPr>
                    <w:pStyle w:val="24"/>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强度</w:t>
                  </w:r>
                </w:p>
              </w:tc>
              <w:tc>
                <w:tcPr>
                  <w:tcW w:w="1876" w:type="dxa"/>
                  <w:noWrap w:val="0"/>
                  <w:vAlign w:val="center"/>
                </w:tcPr>
                <w:p w14:paraId="2DB746A7">
                  <w:pPr>
                    <w:pStyle w:val="24"/>
                    <w:keepNext w:val="0"/>
                    <w:keepLines w:val="0"/>
                    <w:suppressLineNumbers w:val="0"/>
                    <w:bidi w:val="0"/>
                    <w:spacing w:before="0" w:beforeAutospacing="0" w:after="0" w:afterAutospacing="0"/>
                    <w:ind w:left="0" w:right="0"/>
                    <w:rPr>
                      <w:rFonts w:hint="default"/>
                    </w:rPr>
                  </w:pPr>
                  <w:r>
                    <w:rPr>
                      <w:rFonts w:hint="default"/>
                    </w:rPr>
                    <w:t>治理措施</w:t>
                  </w:r>
                </w:p>
              </w:tc>
            </w:tr>
            <w:tr w14:paraId="3CD16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687" w:type="dxa"/>
                  <w:noWrap/>
                  <w:vAlign w:val="center"/>
                </w:tcPr>
                <w:p w14:paraId="4A37BAE5">
                  <w:pPr>
                    <w:pStyle w:val="24"/>
                    <w:keepNext w:val="0"/>
                    <w:keepLines w:val="0"/>
                    <w:suppressLineNumbers w:val="0"/>
                    <w:bidi w:val="0"/>
                    <w:spacing w:before="0" w:beforeAutospacing="0" w:after="0" w:afterAutospacing="0"/>
                    <w:ind w:left="0" w:right="0"/>
                    <w:rPr>
                      <w:rFonts w:hint="default"/>
                    </w:rPr>
                  </w:pPr>
                  <w:r>
                    <w:rPr>
                      <w:rFonts w:hint="default"/>
                    </w:rPr>
                    <w:t>1</w:t>
                  </w:r>
                </w:p>
              </w:tc>
              <w:tc>
                <w:tcPr>
                  <w:tcW w:w="1660" w:type="dxa"/>
                  <w:noWrap w:val="0"/>
                  <w:vAlign w:val="center"/>
                </w:tcPr>
                <w:p w14:paraId="77F0E540">
                  <w:pPr>
                    <w:pStyle w:val="24"/>
                    <w:bidi w:val="0"/>
                    <w:ind w:left="0" w:leftChars="0" w:right="0" w:rightChars="0" w:firstLine="0" w:firstLineChars="0"/>
                    <w:jc w:val="center"/>
                    <w:rPr>
                      <w:rFonts w:hint="default"/>
                    </w:rPr>
                  </w:pPr>
                  <w:r>
                    <w:rPr>
                      <w:rFonts w:hint="default"/>
                    </w:rPr>
                    <w:t>背面珩磨机</w:t>
                  </w:r>
                </w:p>
              </w:tc>
              <w:tc>
                <w:tcPr>
                  <w:tcW w:w="943" w:type="dxa"/>
                  <w:noWrap w:val="0"/>
                  <w:vAlign w:val="center"/>
                </w:tcPr>
                <w:p w14:paraId="1043CF53">
                  <w:pPr>
                    <w:pStyle w:val="24"/>
                    <w:ind w:left="0" w:leftChars="0" w:right="0" w:rightChars="0" w:firstLine="0" w:firstLineChars="0"/>
                    <w:jc w:val="center"/>
                    <w:rPr>
                      <w:rFonts w:hint="default"/>
                    </w:rPr>
                  </w:pPr>
                  <w:r>
                    <w:rPr>
                      <w:rFonts w:hint="eastAsia"/>
                      <w:lang w:val="en-US" w:eastAsia="zh-CN"/>
                    </w:rPr>
                    <w:t>1</w:t>
                  </w:r>
                </w:p>
              </w:tc>
              <w:tc>
                <w:tcPr>
                  <w:tcW w:w="749" w:type="dxa"/>
                  <w:noWrap w:val="0"/>
                  <w:vAlign w:val="center"/>
                </w:tcPr>
                <w:p w14:paraId="35E1DE57">
                  <w:pPr>
                    <w:pStyle w:val="24"/>
                    <w:keepNext w:val="0"/>
                    <w:keepLines w:val="0"/>
                    <w:suppressLineNumbers w:val="0"/>
                    <w:bidi w:val="0"/>
                    <w:spacing w:before="0" w:beforeAutospacing="0" w:after="0" w:afterAutospacing="0"/>
                    <w:ind w:left="0" w:right="0"/>
                    <w:rPr>
                      <w:rFonts w:hint="default"/>
                    </w:rPr>
                  </w:pPr>
                  <w:r>
                    <w:rPr>
                      <w:rFonts w:hint="default"/>
                    </w:rPr>
                    <w:t>室内</w:t>
                  </w:r>
                </w:p>
              </w:tc>
              <w:tc>
                <w:tcPr>
                  <w:tcW w:w="795" w:type="dxa"/>
                  <w:noWrap w:val="0"/>
                  <w:vAlign w:val="center"/>
                </w:tcPr>
                <w:p w14:paraId="6E1FB280">
                  <w:pPr>
                    <w:pStyle w:val="24"/>
                    <w:keepNext w:val="0"/>
                    <w:keepLines w:val="0"/>
                    <w:suppressLineNumbers w:val="0"/>
                    <w:bidi w:val="0"/>
                    <w:spacing w:before="0" w:beforeAutospacing="0" w:after="0" w:afterAutospacing="0"/>
                    <w:ind w:left="0" w:right="0"/>
                    <w:rPr>
                      <w:rFonts w:hint="default"/>
                    </w:rPr>
                  </w:pPr>
                  <w:r>
                    <w:rPr>
                      <w:rFonts w:hint="default"/>
                    </w:rPr>
                    <w:t>连续</w:t>
                  </w:r>
                </w:p>
              </w:tc>
              <w:tc>
                <w:tcPr>
                  <w:tcW w:w="919" w:type="dxa"/>
                  <w:vMerge w:val="restart"/>
                  <w:noWrap w:val="0"/>
                  <w:vAlign w:val="center"/>
                </w:tcPr>
                <w:p w14:paraId="65DFF302">
                  <w:pPr>
                    <w:pStyle w:val="24"/>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7200</w:t>
                  </w:r>
                </w:p>
              </w:tc>
              <w:tc>
                <w:tcPr>
                  <w:tcW w:w="966" w:type="dxa"/>
                  <w:noWrap w:val="0"/>
                  <w:vAlign w:val="center"/>
                </w:tcPr>
                <w:p w14:paraId="16B0F4B8">
                  <w:pPr>
                    <w:pStyle w:val="24"/>
                    <w:ind w:left="0" w:leftChars="0" w:right="0" w:rightChars="0" w:firstLine="0" w:firstLineChars="0"/>
                    <w:jc w:val="center"/>
                    <w:rPr>
                      <w:rFonts w:hint="default"/>
                      <w:lang w:eastAsia="zh-CN"/>
                    </w:rPr>
                  </w:pPr>
                  <w:r>
                    <w:rPr>
                      <w:rFonts w:hint="default"/>
                    </w:rPr>
                    <w:t>75~80</w:t>
                  </w:r>
                </w:p>
              </w:tc>
              <w:tc>
                <w:tcPr>
                  <w:tcW w:w="1876" w:type="dxa"/>
                  <w:vMerge w:val="restart"/>
                  <w:noWrap w:val="0"/>
                  <w:vAlign w:val="center"/>
                </w:tcPr>
                <w:p w14:paraId="66061370">
                  <w:pPr>
                    <w:pStyle w:val="24"/>
                    <w:keepNext w:val="0"/>
                    <w:keepLines w:val="0"/>
                    <w:suppressLineNumbers w:val="0"/>
                    <w:bidi w:val="0"/>
                    <w:spacing w:before="0" w:beforeAutospacing="0" w:after="0" w:afterAutospacing="0"/>
                    <w:ind w:left="0" w:right="0"/>
                    <w:rPr>
                      <w:rFonts w:hint="default"/>
                    </w:rPr>
                  </w:pPr>
                  <w:r>
                    <w:rPr>
                      <w:rFonts w:hint="default"/>
                    </w:rPr>
                    <w:t>①选用低噪声设备。</w:t>
                  </w:r>
                </w:p>
                <w:p w14:paraId="4AA4FAFF">
                  <w:pPr>
                    <w:pStyle w:val="24"/>
                    <w:keepNext w:val="0"/>
                    <w:keepLines w:val="0"/>
                    <w:suppressLineNumbers w:val="0"/>
                    <w:bidi w:val="0"/>
                    <w:spacing w:before="0" w:beforeAutospacing="0" w:after="0" w:afterAutospacing="0"/>
                    <w:ind w:left="0" w:right="0"/>
                    <w:rPr>
                      <w:rFonts w:hint="default"/>
                    </w:rPr>
                  </w:pPr>
                  <w:r>
                    <w:rPr>
                      <w:rFonts w:hint="default"/>
                    </w:rPr>
                    <w:t>②在声源的布局上，将噪声大的设备设置在车间中央、高噪声设备安装时采用减振垫，生产时不开门窗，车间采用隔声门窗。</w:t>
                  </w:r>
                </w:p>
                <w:p w14:paraId="4A59BE93">
                  <w:pPr>
                    <w:pStyle w:val="24"/>
                    <w:keepNext w:val="0"/>
                    <w:keepLines w:val="0"/>
                    <w:suppressLineNumbers w:val="0"/>
                    <w:bidi w:val="0"/>
                    <w:spacing w:before="0" w:beforeAutospacing="0" w:after="0" w:afterAutospacing="0"/>
                    <w:ind w:left="0" w:right="0"/>
                    <w:rPr>
                      <w:rFonts w:hint="default"/>
                    </w:rPr>
                  </w:pPr>
                  <w:r>
                    <w:rPr>
                      <w:rFonts w:hint="default"/>
                    </w:rPr>
                    <w:t>③对空压机等高噪声设备设置隔声房，安装隔声窗、加装吸声材料。</w:t>
                  </w:r>
                </w:p>
                <w:p w14:paraId="2B6CBF9C">
                  <w:pPr>
                    <w:pStyle w:val="24"/>
                    <w:keepNext w:val="0"/>
                    <w:keepLines w:val="0"/>
                    <w:suppressLineNumbers w:val="0"/>
                    <w:bidi w:val="0"/>
                    <w:spacing w:before="0" w:beforeAutospacing="0" w:after="0" w:afterAutospacing="0"/>
                    <w:ind w:left="0" w:right="0"/>
                    <w:rPr>
                      <w:rFonts w:hint="default"/>
                    </w:rPr>
                  </w:pPr>
                  <w:r>
                    <w:rPr>
                      <w:rFonts w:hint="default"/>
                    </w:rPr>
                    <w:t>④加强生产设备的维护保养。</w:t>
                  </w:r>
                </w:p>
              </w:tc>
            </w:tr>
            <w:tr w14:paraId="5586F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687" w:type="dxa"/>
                  <w:noWrap/>
                  <w:vAlign w:val="center"/>
                </w:tcPr>
                <w:p w14:paraId="13DBFCCE">
                  <w:pPr>
                    <w:pStyle w:val="24"/>
                    <w:keepNext w:val="0"/>
                    <w:keepLines w:val="0"/>
                    <w:suppressLineNumbers w:val="0"/>
                    <w:bidi w:val="0"/>
                    <w:spacing w:before="0" w:beforeAutospacing="0" w:after="0" w:afterAutospacing="0"/>
                    <w:ind w:left="0" w:right="0"/>
                    <w:rPr>
                      <w:rFonts w:hint="default"/>
                    </w:rPr>
                  </w:pPr>
                  <w:r>
                    <w:rPr>
                      <w:rFonts w:hint="default"/>
                    </w:rPr>
                    <w:t>2</w:t>
                  </w:r>
                </w:p>
              </w:tc>
              <w:tc>
                <w:tcPr>
                  <w:tcW w:w="1660" w:type="dxa"/>
                  <w:noWrap w:val="0"/>
                  <w:vAlign w:val="center"/>
                </w:tcPr>
                <w:p w14:paraId="74DC8F61">
                  <w:pPr>
                    <w:pStyle w:val="24"/>
                    <w:bidi w:val="0"/>
                    <w:ind w:left="0" w:leftChars="0" w:right="0" w:rightChars="0" w:firstLine="0" w:firstLineChars="0"/>
                    <w:jc w:val="center"/>
                    <w:rPr>
                      <w:rFonts w:hint="default" w:ascii="Times New Roman" w:hAnsi="Times New Roman" w:eastAsia="宋体" w:cs="Times New Roman"/>
                      <w:kern w:val="0"/>
                      <w:sz w:val="21"/>
                      <w:szCs w:val="20"/>
                      <w:lang w:val="en-US" w:eastAsia="zh-CN" w:bidi="ar-SA"/>
                    </w:rPr>
                  </w:pPr>
                  <w:r>
                    <w:rPr>
                      <w:rFonts w:hint="default"/>
                    </w:rPr>
                    <w:t>精珩磨机</w:t>
                  </w:r>
                </w:p>
              </w:tc>
              <w:tc>
                <w:tcPr>
                  <w:tcW w:w="943" w:type="dxa"/>
                  <w:noWrap w:val="0"/>
                  <w:vAlign w:val="center"/>
                </w:tcPr>
                <w:p w14:paraId="2873DB43">
                  <w:pPr>
                    <w:pStyle w:val="24"/>
                    <w:ind w:left="0" w:leftChars="0" w:right="0" w:rightChars="0" w:firstLine="0" w:firstLineChars="0"/>
                    <w:jc w:val="center"/>
                    <w:rPr>
                      <w:rFonts w:hint="default"/>
                    </w:rPr>
                  </w:pPr>
                  <w:r>
                    <w:rPr>
                      <w:rFonts w:hint="eastAsia"/>
                      <w:lang w:val="en-US" w:eastAsia="zh-CN"/>
                    </w:rPr>
                    <w:t>1</w:t>
                  </w:r>
                </w:p>
              </w:tc>
              <w:tc>
                <w:tcPr>
                  <w:tcW w:w="749" w:type="dxa"/>
                  <w:noWrap w:val="0"/>
                  <w:vAlign w:val="center"/>
                </w:tcPr>
                <w:p w14:paraId="6127B461">
                  <w:pPr>
                    <w:pStyle w:val="24"/>
                    <w:keepNext w:val="0"/>
                    <w:keepLines w:val="0"/>
                    <w:suppressLineNumbers w:val="0"/>
                    <w:bidi w:val="0"/>
                    <w:spacing w:before="0" w:beforeAutospacing="0" w:after="0" w:afterAutospacing="0"/>
                    <w:ind w:left="0" w:right="0"/>
                    <w:rPr>
                      <w:rFonts w:hint="default"/>
                    </w:rPr>
                  </w:pPr>
                  <w:r>
                    <w:rPr>
                      <w:rFonts w:hint="default"/>
                    </w:rPr>
                    <w:t>室内</w:t>
                  </w:r>
                </w:p>
              </w:tc>
              <w:tc>
                <w:tcPr>
                  <w:tcW w:w="795" w:type="dxa"/>
                  <w:noWrap w:val="0"/>
                  <w:vAlign w:val="center"/>
                </w:tcPr>
                <w:p w14:paraId="2770C8D2">
                  <w:pPr>
                    <w:pStyle w:val="24"/>
                    <w:keepNext w:val="0"/>
                    <w:keepLines w:val="0"/>
                    <w:suppressLineNumbers w:val="0"/>
                    <w:bidi w:val="0"/>
                    <w:spacing w:before="0" w:beforeAutospacing="0" w:after="0" w:afterAutospacing="0"/>
                    <w:ind w:left="0" w:right="0"/>
                    <w:rPr>
                      <w:rFonts w:hint="default"/>
                    </w:rPr>
                  </w:pPr>
                  <w:r>
                    <w:rPr>
                      <w:rFonts w:hint="default"/>
                    </w:rPr>
                    <w:t>连续</w:t>
                  </w:r>
                </w:p>
              </w:tc>
              <w:tc>
                <w:tcPr>
                  <w:tcW w:w="919" w:type="dxa"/>
                  <w:vMerge w:val="continue"/>
                  <w:noWrap w:val="0"/>
                  <w:vAlign w:val="center"/>
                </w:tcPr>
                <w:p w14:paraId="60F0FDB4">
                  <w:pPr>
                    <w:pStyle w:val="24"/>
                    <w:keepNext w:val="0"/>
                    <w:keepLines w:val="0"/>
                    <w:suppressLineNumbers w:val="0"/>
                    <w:bidi w:val="0"/>
                    <w:spacing w:before="0" w:beforeAutospacing="0" w:after="0" w:afterAutospacing="0"/>
                    <w:ind w:left="0" w:right="0"/>
                    <w:rPr>
                      <w:rFonts w:hint="default"/>
                    </w:rPr>
                  </w:pPr>
                </w:p>
              </w:tc>
              <w:tc>
                <w:tcPr>
                  <w:tcW w:w="966" w:type="dxa"/>
                  <w:noWrap w:val="0"/>
                  <w:vAlign w:val="center"/>
                </w:tcPr>
                <w:p w14:paraId="1B368D31">
                  <w:pPr>
                    <w:pStyle w:val="24"/>
                    <w:ind w:left="0" w:leftChars="0" w:right="0" w:rightChars="0" w:firstLine="0" w:firstLineChars="0"/>
                    <w:jc w:val="center"/>
                    <w:rPr>
                      <w:rFonts w:hint="default"/>
                    </w:rPr>
                  </w:pPr>
                  <w:r>
                    <w:rPr>
                      <w:rFonts w:hint="default"/>
                    </w:rPr>
                    <w:t>75~85</w:t>
                  </w:r>
                </w:p>
              </w:tc>
              <w:tc>
                <w:tcPr>
                  <w:tcW w:w="1876" w:type="dxa"/>
                  <w:vMerge w:val="continue"/>
                  <w:noWrap w:val="0"/>
                  <w:vAlign w:val="center"/>
                </w:tcPr>
                <w:p w14:paraId="624AC4FF">
                  <w:pPr>
                    <w:pStyle w:val="24"/>
                    <w:keepNext w:val="0"/>
                    <w:keepLines w:val="0"/>
                    <w:suppressLineNumbers w:val="0"/>
                    <w:bidi w:val="0"/>
                    <w:spacing w:before="0" w:beforeAutospacing="0" w:after="0" w:afterAutospacing="0"/>
                    <w:ind w:left="0" w:right="0"/>
                    <w:rPr>
                      <w:rFonts w:hint="default"/>
                    </w:rPr>
                  </w:pPr>
                </w:p>
              </w:tc>
            </w:tr>
            <w:tr w14:paraId="25DD5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687" w:type="dxa"/>
                  <w:noWrap/>
                  <w:vAlign w:val="center"/>
                </w:tcPr>
                <w:p w14:paraId="71E258F7">
                  <w:pPr>
                    <w:pStyle w:val="24"/>
                    <w:keepNext w:val="0"/>
                    <w:keepLines w:val="0"/>
                    <w:suppressLineNumbers w:val="0"/>
                    <w:bidi w:val="0"/>
                    <w:spacing w:before="0" w:beforeAutospacing="0" w:after="0" w:afterAutospacing="0"/>
                    <w:ind w:left="0" w:right="0"/>
                    <w:rPr>
                      <w:rFonts w:hint="default"/>
                    </w:rPr>
                  </w:pPr>
                  <w:r>
                    <w:rPr>
                      <w:rFonts w:hint="default"/>
                    </w:rPr>
                    <w:t>3</w:t>
                  </w:r>
                </w:p>
              </w:tc>
              <w:tc>
                <w:tcPr>
                  <w:tcW w:w="1660" w:type="dxa"/>
                  <w:noWrap w:val="0"/>
                  <w:vAlign w:val="center"/>
                </w:tcPr>
                <w:p w14:paraId="6E8129FC">
                  <w:pPr>
                    <w:pStyle w:val="24"/>
                    <w:bidi w:val="0"/>
                    <w:ind w:left="0" w:leftChars="0" w:right="0" w:rightChars="0" w:firstLine="0" w:firstLineChars="0"/>
                    <w:jc w:val="center"/>
                    <w:rPr>
                      <w:rFonts w:hint="default" w:ascii="Times New Roman" w:hAnsi="Times New Roman" w:eastAsia="宋体" w:cs="Times New Roman"/>
                      <w:kern w:val="0"/>
                      <w:sz w:val="21"/>
                      <w:szCs w:val="20"/>
                      <w:lang w:val="en-US" w:eastAsia="zh-CN" w:bidi="ar-SA"/>
                    </w:rPr>
                  </w:pPr>
                  <w:r>
                    <w:rPr>
                      <w:rFonts w:hint="default"/>
                    </w:rPr>
                    <w:t>外圆抛光机</w:t>
                  </w:r>
                </w:p>
              </w:tc>
              <w:tc>
                <w:tcPr>
                  <w:tcW w:w="943" w:type="dxa"/>
                  <w:noWrap w:val="0"/>
                  <w:vAlign w:val="center"/>
                </w:tcPr>
                <w:p w14:paraId="0A060325">
                  <w:pPr>
                    <w:pStyle w:val="24"/>
                    <w:ind w:left="0" w:leftChars="0" w:right="0" w:rightChars="0" w:firstLine="0" w:firstLineChars="0"/>
                    <w:jc w:val="center"/>
                    <w:rPr>
                      <w:rFonts w:hint="default"/>
                    </w:rPr>
                  </w:pPr>
                  <w:r>
                    <w:rPr>
                      <w:rFonts w:hint="eastAsia"/>
                      <w:lang w:val="en-US" w:eastAsia="zh-CN"/>
                    </w:rPr>
                    <w:t>1</w:t>
                  </w:r>
                </w:p>
              </w:tc>
              <w:tc>
                <w:tcPr>
                  <w:tcW w:w="749" w:type="dxa"/>
                  <w:noWrap w:val="0"/>
                  <w:vAlign w:val="center"/>
                </w:tcPr>
                <w:p w14:paraId="681350F8">
                  <w:pPr>
                    <w:pStyle w:val="24"/>
                    <w:keepNext w:val="0"/>
                    <w:keepLines w:val="0"/>
                    <w:suppressLineNumbers w:val="0"/>
                    <w:bidi w:val="0"/>
                    <w:spacing w:before="0" w:beforeAutospacing="0" w:after="0" w:afterAutospacing="0"/>
                    <w:ind w:left="0" w:right="0"/>
                    <w:rPr>
                      <w:rFonts w:hint="default"/>
                    </w:rPr>
                  </w:pPr>
                  <w:r>
                    <w:rPr>
                      <w:rFonts w:hint="default"/>
                    </w:rPr>
                    <w:t>室内</w:t>
                  </w:r>
                </w:p>
              </w:tc>
              <w:tc>
                <w:tcPr>
                  <w:tcW w:w="795" w:type="dxa"/>
                  <w:noWrap w:val="0"/>
                  <w:vAlign w:val="center"/>
                </w:tcPr>
                <w:p w14:paraId="4B70A9B5">
                  <w:pPr>
                    <w:pStyle w:val="24"/>
                    <w:keepNext w:val="0"/>
                    <w:keepLines w:val="0"/>
                    <w:suppressLineNumbers w:val="0"/>
                    <w:bidi w:val="0"/>
                    <w:spacing w:before="0" w:beforeAutospacing="0" w:after="0" w:afterAutospacing="0"/>
                    <w:ind w:left="0" w:right="0"/>
                    <w:rPr>
                      <w:rFonts w:hint="default"/>
                    </w:rPr>
                  </w:pPr>
                  <w:r>
                    <w:rPr>
                      <w:rFonts w:hint="default"/>
                    </w:rPr>
                    <w:t>连续</w:t>
                  </w:r>
                </w:p>
              </w:tc>
              <w:tc>
                <w:tcPr>
                  <w:tcW w:w="919" w:type="dxa"/>
                  <w:vMerge w:val="continue"/>
                  <w:noWrap w:val="0"/>
                  <w:vAlign w:val="center"/>
                </w:tcPr>
                <w:p w14:paraId="3A72EC48">
                  <w:pPr>
                    <w:pStyle w:val="24"/>
                    <w:keepNext w:val="0"/>
                    <w:keepLines w:val="0"/>
                    <w:suppressLineNumbers w:val="0"/>
                    <w:bidi w:val="0"/>
                    <w:spacing w:before="0" w:beforeAutospacing="0" w:after="0" w:afterAutospacing="0"/>
                    <w:ind w:left="0" w:right="0"/>
                    <w:rPr>
                      <w:rFonts w:hint="default"/>
                    </w:rPr>
                  </w:pPr>
                </w:p>
              </w:tc>
              <w:tc>
                <w:tcPr>
                  <w:tcW w:w="966" w:type="dxa"/>
                  <w:noWrap w:val="0"/>
                  <w:vAlign w:val="center"/>
                </w:tcPr>
                <w:p w14:paraId="73FD4389">
                  <w:pPr>
                    <w:pStyle w:val="24"/>
                    <w:ind w:left="0" w:leftChars="0" w:right="0" w:rightChars="0" w:firstLine="0" w:firstLineChars="0"/>
                    <w:jc w:val="center"/>
                    <w:rPr>
                      <w:rFonts w:hint="default"/>
                    </w:rPr>
                  </w:pPr>
                  <w:r>
                    <w:rPr>
                      <w:rFonts w:hint="default"/>
                    </w:rPr>
                    <w:t>75~85</w:t>
                  </w:r>
                </w:p>
              </w:tc>
              <w:tc>
                <w:tcPr>
                  <w:tcW w:w="1876" w:type="dxa"/>
                  <w:vMerge w:val="continue"/>
                  <w:noWrap w:val="0"/>
                  <w:vAlign w:val="center"/>
                </w:tcPr>
                <w:p w14:paraId="68662652">
                  <w:pPr>
                    <w:pStyle w:val="24"/>
                    <w:keepNext w:val="0"/>
                    <w:keepLines w:val="0"/>
                    <w:suppressLineNumbers w:val="0"/>
                    <w:bidi w:val="0"/>
                    <w:spacing w:before="0" w:beforeAutospacing="0" w:after="0" w:afterAutospacing="0"/>
                    <w:ind w:left="0" w:right="0"/>
                    <w:rPr>
                      <w:rFonts w:hint="default"/>
                    </w:rPr>
                  </w:pPr>
                </w:p>
              </w:tc>
            </w:tr>
            <w:tr w14:paraId="2CD23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687" w:type="dxa"/>
                  <w:noWrap/>
                  <w:vAlign w:val="center"/>
                </w:tcPr>
                <w:p w14:paraId="52B440B5">
                  <w:pPr>
                    <w:pStyle w:val="24"/>
                    <w:keepNext w:val="0"/>
                    <w:keepLines w:val="0"/>
                    <w:suppressLineNumbers w:val="0"/>
                    <w:bidi w:val="0"/>
                    <w:spacing w:before="0" w:beforeAutospacing="0" w:after="0" w:afterAutospacing="0"/>
                    <w:ind w:left="0" w:right="0"/>
                    <w:rPr>
                      <w:rFonts w:hint="default"/>
                    </w:rPr>
                  </w:pPr>
                  <w:r>
                    <w:rPr>
                      <w:rFonts w:hint="default"/>
                    </w:rPr>
                    <w:t>4</w:t>
                  </w:r>
                </w:p>
              </w:tc>
              <w:tc>
                <w:tcPr>
                  <w:tcW w:w="1660" w:type="dxa"/>
                  <w:noWrap w:val="0"/>
                  <w:vAlign w:val="center"/>
                </w:tcPr>
                <w:p w14:paraId="01862BEF">
                  <w:pPr>
                    <w:pStyle w:val="24"/>
                    <w:bidi w:val="0"/>
                    <w:ind w:left="0" w:leftChars="0" w:right="0" w:rightChars="0" w:firstLine="0" w:firstLineChars="0"/>
                    <w:jc w:val="center"/>
                    <w:rPr>
                      <w:rFonts w:hint="default" w:ascii="Times New Roman" w:hAnsi="Times New Roman" w:eastAsia="宋体" w:cs="Times New Roman"/>
                      <w:kern w:val="0"/>
                      <w:sz w:val="21"/>
                      <w:szCs w:val="20"/>
                      <w:lang w:val="en-US" w:eastAsia="zh-CN" w:bidi="ar-SA"/>
                    </w:rPr>
                  </w:pPr>
                  <w:r>
                    <w:rPr>
                      <w:rFonts w:hint="default"/>
                    </w:rPr>
                    <w:t>梯面磨床</w:t>
                  </w:r>
                </w:p>
              </w:tc>
              <w:tc>
                <w:tcPr>
                  <w:tcW w:w="943" w:type="dxa"/>
                  <w:noWrap w:val="0"/>
                  <w:vAlign w:val="center"/>
                </w:tcPr>
                <w:p w14:paraId="4D64A328">
                  <w:pPr>
                    <w:pStyle w:val="24"/>
                    <w:ind w:left="0" w:leftChars="0" w:right="0" w:rightChars="0" w:firstLine="0" w:firstLineChars="0"/>
                    <w:jc w:val="center"/>
                    <w:rPr>
                      <w:rFonts w:hint="default"/>
                    </w:rPr>
                  </w:pPr>
                  <w:r>
                    <w:rPr>
                      <w:rFonts w:hint="default"/>
                      <w:lang w:val="en-US" w:eastAsia="zh-CN"/>
                    </w:rPr>
                    <w:t>4</w:t>
                  </w:r>
                </w:p>
              </w:tc>
              <w:tc>
                <w:tcPr>
                  <w:tcW w:w="749" w:type="dxa"/>
                  <w:noWrap w:val="0"/>
                  <w:vAlign w:val="center"/>
                </w:tcPr>
                <w:p w14:paraId="1E1E15F4">
                  <w:pPr>
                    <w:pStyle w:val="24"/>
                    <w:keepNext w:val="0"/>
                    <w:keepLines w:val="0"/>
                    <w:suppressLineNumbers w:val="0"/>
                    <w:bidi w:val="0"/>
                    <w:spacing w:before="0" w:beforeAutospacing="0" w:after="0" w:afterAutospacing="0"/>
                    <w:ind w:left="0" w:right="0"/>
                    <w:rPr>
                      <w:rFonts w:hint="default"/>
                    </w:rPr>
                  </w:pPr>
                  <w:r>
                    <w:rPr>
                      <w:rFonts w:hint="default"/>
                    </w:rPr>
                    <w:t>室内</w:t>
                  </w:r>
                </w:p>
              </w:tc>
              <w:tc>
                <w:tcPr>
                  <w:tcW w:w="795" w:type="dxa"/>
                  <w:noWrap w:val="0"/>
                  <w:vAlign w:val="center"/>
                </w:tcPr>
                <w:p w14:paraId="0BBB0F9B">
                  <w:pPr>
                    <w:pStyle w:val="24"/>
                    <w:keepNext w:val="0"/>
                    <w:keepLines w:val="0"/>
                    <w:suppressLineNumbers w:val="0"/>
                    <w:bidi w:val="0"/>
                    <w:spacing w:before="0" w:beforeAutospacing="0" w:after="0" w:afterAutospacing="0"/>
                    <w:ind w:left="0" w:right="0"/>
                    <w:rPr>
                      <w:rFonts w:hint="default"/>
                    </w:rPr>
                  </w:pPr>
                  <w:r>
                    <w:rPr>
                      <w:rFonts w:hint="default"/>
                    </w:rPr>
                    <w:t>连续</w:t>
                  </w:r>
                </w:p>
              </w:tc>
              <w:tc>
                <w:tcPr>
                  <w:tcW w:w="919" w:type="dxa"/>
                  <w:vMerge w:val="continue"/>
                  <w:noWrap w:val="0"/>
                  <w:vAlign w:val="center"/>
                </w:tcPr>
                <w:p w14:paraId="53D95195">
                  <w:pPr>
                    <w:pStyle w:val="24"/>
                    <w:keepNext w:val="0"/>
                    <w:keepLines w:val="0"/>
                    <w:suppressLineNumbers w:val="0"/>
                    <w:bidi w:val="0"/>
                    <w:spacing w:before="0" w:beforeAutospacing="0" w:after="0" w:afterAutospacing="0"/>
                    <w:ind w:left="0" w:right="0"/>
                    <w:rPr>
                      <w:rFonts w:hint="default"/>
                    </w:rPr>
                  </w:pPr>
                </w:p>
              </w:tc>
              <w:tc>
                <w:tcPr>
                  <w:tcW w:w="966" w:type="dxa"/>
                  <w:noWrap w:val="0"/>
                  <w:vAlign w:val="center"/>
                </w:tcPr>
                <w:p w14:paraId="601F38E3">
                  <w:pPr>
                    <w:pStyle w:val="24"/>
                    <w:ind w:left="0" w:leftChars="0" w:right="0" w:rightChars="0" w:firstLine="0" w:firstLineChars="0"/>
                    <w:jc w:val="center"/>
                    <w:rPr>
                      <w:rFonts w:hint="default"/>
                    </w:rPr>
                  </w:pPr>
                  <w:r>
                    <w:rPr>
                      <w:rFonts w:hint="default"/>
                    </w:rPr>
                    <w:t>75~85</w:t>
                  </w:r>
                </w:p>
              </w:tc>
              <w:tc>
                <w:tcPr>
                  <w:tcW w:w="1876" w:type="dxa"/>
                  <w:vMerge w:val="continue"/>
                  <w:noWrap w:val="0"/>
                  <w:vAlign w:val="center"/>
                </w:tcPr>
                <w:p w14:paraId="0C3EB08C">
                  <w:pPr>
                    <w:pStyle w:val="24"/>
                    <w:keepNext w:val="0"/>
                    <w:keepLines w:val="0"/>
                    <w:suppressLineNumbers w:val="0"/>
                    <w:bidi w:val="0"/>
                    <w:spacing w:before="0" w:beforeAutospacing="0" w:after="0" w:afterAutospacing="0"/>
                    <w:ind w:left="0" w:right="0"/>
                    <w:rPr>
                      <w:rFonts w:hint="default"/>
                    </w:rPr>
                  </w:pPr>
                </w:p>
              </w:tc>
            </w:tr>
            <w:tr w14:paraId="6BD4F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687" w:type="dxa"/>
                  <w:noWrap/>
                  <w:vAlign w:val="center"/>
                </w:tcPr>
                <w:p w14:paraId="643CEA8C">
                  <w:pPr>
                    <w:pStyle w:val="24"/>
                    <w:keepNext w:val="0"/>
                    <w:keepLines w:val="0"/>
                    <w:suppressLineNumbers w:val="0"/>
                    <w:bidi w:val="0"/>
                    <w:spacing w:before="0" w:beforeAutospacing="0" w:after="0" w:afterAutospacing="0"/>
                    <w:ind w:left="0" w:right="0"/>
                    <w:rPr>
                      <w:rFonts w:hint="default"/>
                    </w:rPr>
                  </w:pPr>
                  <w:r>
                    <w:rPr>
                      <w:rFonts w:hint="default"/>
                    </w:rPr>
                    <w:t>5</w:t>
                  </w:r>
                </w:p>
              </w:tc>
              <w:tc>
                <w:tcPr>
                  <w:tcW w:w="1660" w:type="dxa"/>
                  <w:noWrap w:val="0"/>
                  <w:vAlign w:val="center"/>
                </w:tcPr>
                <w:p w14:paraId="7C515183">
                  <w:pPr>
                    <w:pStyle w:val="24"/>
                    <w:bidi w:val="0"/>
                    <w:ind w:left="0" w:leftChars="0" w:right="0" w:rightChars="0" w:firstLine="0" w:firstLineChars="0"/>
                    <w:jc w:val="center"/>
                    <w:rPr>
                      <w:rFonts w:hint="default" w:ascii="Times New Roman" w:hAnsi="Times New Roman" w:eastAsia="宋体" w:cs="Times New Roman"/>
                      <w:kern w:val="0"/>
                      <w:sz w:val="21"/>
                      <w:szCs w:val="20"/>
                      <w:lang w:val="en-US" w:eastAsia="zh-CN" w:bidi="ar-SA"/>
                    </w:rPr>
                  </w:pPr>
                  <w:r>
                    <w:rPr>
                      <w:rFonts w:hint="default"/>
                    </w:rPr>
                    <w:t>自动车床</w:t>
                  </w:r>
                </w:p>
              </w:tc>
              <w:tc>
                <w:tcPr>
                  <w:tcW w:w="943" w:type="dxa"/>
                  <w:noWrap w:val="0"/>
                  <w:vAlign w:val="center"/>
                </w:tcPr>
                <w:p w14:paraId="1F04ECC0">
                  <w:pPr>
                    <w:pStyle w:val="24"/>
                    <w:ind w:left="0" w:leftChars="0" w:right="0" w:rightChars="0" w:firstLine="0" w:firstLineChars="0"/>
                    <w:jc w:val="center"/>
                    <w:rPr>
                      <w:rFonts w:hint="eastAsia" w:eastAsia="宋体"/>
                      <w:lang w:val="en-US" w:eastAsia="zh-CN"/>
                    </w:rPr>
                  </w:pPr>
                  <w:r>
                    <w:rPr>
                      <w:rFonts w:hint="eastAsia"/>
                      <w:lang w:val="en-US" w:eastAsia="zh-CN"/>
                    </w:rPr>
                    <w:t>1</w:t>
                  </w:r>
                </w:p>
              </w:tc>
              <w:tc>
                <w:tcPr>
                  <w:tcW w:w="749" w:type="dxa"/>
                  <w:noWrap w:val="0"/>
                  <w:vAlign w:val="center"/>
                </w:tcPr>
                <w:p w14:paraId="1C0BCB21">
                  <w:pPr>
                    <w:pStyle w:val="24"/>
                    <w:keepNext w:val="0"/>
                    <w:keepLines w:val="0"/>
                    <w:suppressLineNumbers w:val="0"/>
                    <w:bidi w:val="0"/>
                    <w:spacing w:before="0" w:beforeAutospacing="0" w:after="0" w:afterAutospacing="0"/>
                    <w:ind w:left="0" w:right="0"/>
                    <w:rPr>
                      <w:rFonts w:hint="default"/>
                    </w:rPr>
                  </w:pPr>
                  <w:r>
                    <w:rPr>
                      <w:rFonts w:hint="default"/>
                    </w:rPr>
                    <w:t>室内</w:t>
                  </w:r>
                </w:p>
              </w:tc>
              <w:tc>
                <w:tcPr>
                  <w:tcW w:w="795" w:type="dxa"/>
                  <w:noWrap w:val="0"/>
                  <w:vAlign w:val="center"/>
                </w:tcPr>
                <w:p w14:paraId="0CECAAFA">
                  <w:pPr>
                    <w:pStyle w:val="24"/>
                    <w:keepNext w:val="0"/>
                    <w:keepLines w:val="0"/>
                    <w:suppressLineNumbers w:val="0"/>
                    <w:bidi w:val="0"/>
                    <w:spacing w:before="0" w:beforeAutospacing="0" w:after="0" w:afterAutospacing="0"/>
                    <w:ind w:left="0" w:right="0"/>
                    <w:rPr>
                      <w:rFonts w:hint="default"/>
                    </w:rPr>
                  </w:pPr>
                  <w:r>
                    <w:rPr>
                      <w:rFonts w:hint="default"/>
                    </w:rPr>
                    <w:t>连续</w:t>
                  </w:r>
                </w:p>
              </w:tc>
              <w:tc>
                <w:tcPr>
                  <w:tcW w:w="919" w:type="dxa"/>
                  <w:vMerge w:val="continue"/>
                  <w:noWrap w:val="0"/>
                  <w:vAlign w:val="center"/>
                </w:tcPr>
                <w:p w14:paraId="0C93CA33">
                  <w:pPr>
                    <w:pStyle w:val="24"/>
                    <w:keepNext w:val="0"/>
                    <w:keepLines w:val="0"/>
                    <w:suppressLineNumbers w:val="0"/>
                    <w:bidi w:val="0"/>
                    <w:spacing w:before="0" w:beforeAutospacing="0" w:after="0" w:afterAutospacing="0"/>
                    <w:ind w:left="0" w:right="0"/>
                    <w:rPr>
                      <w:rFonts w:hint="default"/>
                    </w:rPr>
                  </w:pPr>
                </w:p>
              </w:tc>
              <w:tc>
                <w:tcPr>
                  <w:tcW w:w="966" w:type="dxa"/>
                  <w:noWrap w:val="0"/>
                  <w:vAlign w:val="center"/>
                </w:tcPr>
                <w:p w14:paraId="27C4254E">
                  <w:pPr>
                    <w:pStyle w:val="24"/>
                    <w:ind w:left="0" w:leftChars="0" w:right="0" w:rightChars="0" w:firstLine="0" w:firstLineChars="0"/>
                    <w:jc w:val="center"/>
                    <w:rPr>
                      <w:rFonts w:hint="default"/>
                    </w:rPr>
                  </w:pPr>
                  <w:r>
                    <w:rPr>
                      <w:rFonts w:hint="default"/>
                    </w:rPr>
                    <w:t>75~85</w:t>
                  </w:r>
                </w:p>
              </w:tc>
              <w:tc>
                <w:tcPr>
                  <w:tcW w:w="1876" w:type="dxa"/>
                  <w:vMerge w:val="continue"/>
                  <w:noWrap w:val="0"/>
                  <w:vAlign w:val="center"/>
                </w:tcPr>
                <w:p w14:paraId="152FE546">
                  <w:pPr>
                    <w:pStyle w:val="24"/>
                    <w:keepNext w:val="0"/>
                    <w:keepLines w:val="0"/>
                    <w:suppressLineNumbers w:val="0"/>
                    <w:bidi w:val="0"/>
                    <w:spacing w:before="0" w:beforeAutospacing="0" w:after="0" w:afterAutospacing="0"/>
                    <w:ind w:left="0" w:right="0"/>
                    <w:rPr>
                      <w:rFonts w:hint="default"/>
                    </w:rPr>
                  </w:pPr>
                </w:p>
              </w:tc>
            </w:tr>
          </w:tbl>
          <w:p w14:paraId="4EAABB1F">
            <w:pPr>
              <w:pStyle w:val="4"/>
              <w:suppressLineNumbers w:val="0"/>
              <w:bidi w:val="0"/>
              <w:spacing w:before="0" w:beforeAutospacing="0" w:after="0" w:afterAutospacing="0"/>
              <w:ind w:left="0" w:right="0"/>
              <w:rPr>
                <w:rFonts w:hint="default"/>
              </w:rPr>
            </w:pPr>
            <w:r>
              <w:rPr>
                <w:rFonts w:hint="eastAsia"/>
              </w:rPr>
              <w:t>3.1.5其他环境保护设施</w:t>
            </w:r>
          </w:p>
          <w:p w14:paraId="71DB9784">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3.1.5.1地下水污染防治措施</w:t>
            </w:r>
          </w:p>
          <w:p w14:paraId="327F712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本次验收项目固废依托企业现有项目的一般固废库和危废库。所有依托工程企业应按照要求做好相应的防渗。</w:t>
            </w:r>
          </w:p>
          <w:p w14:paraId="33D52A28">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3.1.5.2环境风险防范设施</w:t>
            </w:r>
          </w:p>
          <w:p w14:paraId="4D7643DE">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w:t>
            </w:r>
            <w:r>
              <w:rPr>
                <w:rFonts w:hint="default" w:ascii="Times New Roman" w:hAnsi="Times New Roman" w:eastAsia="宋体" w:cs="Times New Roman"/>
                <w:bCs/>
                <w:snapToGrid/>
                <w:kern w:val="2"/>
                <w:sz w:val="24"/>
                <w:szCs w:val="24"/>
                <w:lang w:val="en-US" w:eastAsia="zh-CN" w:bidi="ar"/>
              </w:rPr>
              <w:t>1</w:t>
            </w:r>
            <w:r>
              <w:rPr>
                <w:rFonts w:hint="eastAsia" w:ascii="Times New Roman" w:hAnsi="Times New Roman" w:eastAsia="宋体" w:cs="宋体"/>
                <w:bCs/>
                <w:snapToGrid/>
                <w:kern w:val="2"/>
                <w:sz w:val="24"/>
                <w:szCs w:val="24"/>
                <w:lang w:val="en-US" w:eastAsia="zh-CN" w:bidi="ar"/>
              </w:rPr>
              <w:t>）机构设置</w:t>
            </w:r>
          </w:p>
          <w:p w14:paraId="1D958381">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default"/>
              </w:rPr>
              <w:t>建设单位已组建厂区的安全环保管理相关人员，通过技能培训，承担本项目建设运行后的环保安全工作。根据公司管理要求，结合当前的环境管理要求和应城市当地的具体情况，制定公司的各项安全生产管理制度、严格的生产操作规程和完善的事故应急计划及相应的应急处理手段和设施，同时加强安全教育，以提高职工的安全意识和安全防范能力。</w:t>
            </w:r>
          </w:p>
          <w:p w14:paraId="2149A770">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w:t>
            </w:r>
            <w:r>
              <w:rPr>
                <w:rFonts w:hint="default" w:ascii="Times New Roman" w:hAnsi="Times New Roman" w:eastAsia="宋体" w:cs="Times New Roman"/>
                <w:bCs/>
                <w:snapToGrid/>
                <w:kern w:val="2"/>
                <w:sz w:val="24"/>
                <w:szCs w:val="24"/>
                <w:lang w:val="en-US" w:eastAsia="zh-CN" w:bidi="ar"/>
              </w:rPr>
              <w:t>2</w:t>
            </w:r>
            <w:r>
              <w:rPr>
                <w:rFonts w:hint="eastAsia" w:ascii="Times New Roman" w:hAnsi="Times New Roman" w:eastAsia="宋体" w:cs="宋体"/>
                <w:bCs/>
                <w:snapToGrid/>
                <w:kern w:val="2"/>
                <w:sz w:val="24"/>
                <w:szCs w:val="24"/>
                <w:lang w:val="en-US" w:eastAsia="zh-CN" w:bidi="ar"/>
              </w:rPr>
              <w:t>）选址、总图布置和建筑安全防范措施</w:t>
            </w:r>
          </w:p>
          <w:p w14:paraId="4AADCCCB">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本次验收项目位于安庆ATG公司二号工厂</w:t>
            </w:r>
            <w:r>
              <w:rPr>
                <w:rFonts w:hint="eastAsia" w:ascii="Times New Roman" w:hAnsi="Times New Roman" w:eastAsia="宋体" w:cs="宋体"/>
                <w:snapToGrid/>
                <w:kern w:val="2"/>
                <w:sz w:val="24"/>
                <w:szCs w:val="24"/>
                <w:lang w:val="en-US" w:eastAsia="zh-CN" w:bidi="ar"/>
              </w:rPr>
              <w:t>现有厂房内</w:t>
            </w:r>
            <w:r>
              <w:rPr>
                <w:rFonts w:hint="eastAsia" w:ascii="Times New Roman" w:hAnsi="Times New Roman" w:eastAsia="宋体" w:cs="宋体"/>
                <w:bCs/>
                <w:snapToGrid/>
                <w:kern w:val="2"/>
                <w:sz w:val="24"/>
                <w:szCs w:val="24"/>
                <w:lang w:val="en-US" w:eastAsia="zh-CN" w:bidi="ar"/>
              </w:rPr>
              <w:t>，根据本项目的物料性质和毒性，参照相关的毒物、危险物处理手册，公司已采取相应的安全防范措施：</w:t>
            </w:r>
          </w:p>
          <w:p w14:paraId="7509ACAA">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①车间总平面布置，严格执行国家规范要求，所有建、构筑物之间或与其它场所之间留有足够的防火间距，防止在火灾或爆炸时相互影响。</w:t>
            </w:r>
          </w:p>
          <w:p w14:paraId="264C980A">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②根据火灾危险性等级和防火、防爆要求，建筑物按一、二级耐火等级设计，满足建筑防火要求。根据火灾危险性等级和防火防爆要求</w:t>
            </w:r>
          </w:p>
          <w:p w14:paraId="35693B09">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③车间火灾爆炸危险场所的安全出口及安全疏散距离应符合《建筑设计防火规范》（</w:t>
            </w:r>
            <w:r>
              <w:rPr>
                <w:rFonts w:hint="default" w:ascii="Times New Roman" w:hAnsi="Times New Roman" w:eastAsia="宋体" w:cs="Times New Roman"/>
                <w:bCs/>
                <w:snapToGrid/>
                <w:kern w:val="2"/>
                <w:sz w:val="24"/>
                <w:szCs w:val="24"/>
                <w:lang w:val="en-US" w:eastAsia="zh-CN" w:bidi="ar"/>
              </w:rPr>
              <w:t>GB 50016-2014</w:t>
            </w:r>
            <w:r>
              <w:rPr>
                <w:rFonts w:hint="eastAsia" w:ascii="Times New Roman" w:hAnsi="Times New Roman" w:eastAsia="宋体" w:cs="宋体"/>
                <w:bCs/>
                <w:snapToGrid/>
                <w:kern w:val="2"/>
                <w:sz w:val="24"/>
                <w:szCs w:val="24"/>
                <w:lang w:val="en-US" w:eastAsia="zh-CN" w:bidi="ar"/>
              </w:rPr>
              <w:t>）的要求，凡禁火区均已设置明显标志牌。</w:t>
            </w:r>
          </w:p>
          <w:p w14:paraId="5BB3D092">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④生产过程采用</w:t>
            </w:r>
            <w:r>
              <w:rPr>
                <w:rFonts w:hint="default" w:ascii="Times New Roman" w:hAnsi="Times New Roman" w:eastAsia="宋体" w:cs="Times New Roman"/>
                <w:bCs/>
                <w:snapToGrid/>
                <w:kern w:val="2"/>
                <w:sz w:val="24"/>
                <w:szCs w:val="24"/>
                <w:lang w:val="en-US" w:eastAsia="zh-CN" w:bidi="ar"/>
              </w:rPr>
              <w:t>PLC</w:t>
            </w:r>
            <w:r>
              <w:rPr>
                <w:rFonts w:hint="eastAsia" w:ascii="Times New Roman" w:hAnsi="Times New Roman" w:eastAsia="宋体" w:cs="宋体"/>
                <w:bCs/>
                <w:snapToGrid/>
                <w:kern w:val="2"/>
                <w:sz w:val="24"/>
                <w:szCs w:val="24"/>
                <w:lang w:val="en-US" w:eastAsia="zh-CN" w:bidi="ar"/>
              </w:rPr>
              <w:t>控制系统，对关键设备的操作温度、操作压力、液位高低均能自动监控及安全报警。</w:t>
            </w:r>
          </w:p>
          <w:p w14:paraId="7E8159DF">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⑤建立完善的消防设施，包括高压水消防系统、火灾报警系统等。根据生产装置的特点以及卫生特征，设车间更衣室和专用衣柜。</w:t>
            </w:r>
          </w:p>
          <w:p w14:paraId="3A003017">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w:t>
            </w:r>
            <w:r>
              <w:rPr>
                <w:rFonts w:hint="default" w:ascii="Times New Roman" w:hAnsi="Times New Roman" w:eastAsia="宋体" w:cs="Times New Roman"/>
                <w:bCs/>
                <w:snapToGrid/>
                <w:kern w:val="2"/>
                <w:sz w:val="24"/>
                <w:szCs w:val="24"/>
                <w:lang w:val="en-US" w:eastAsia="zh-CN" w:bidi="ar"/>
              </w:rPr>
              <w:t>3</w:t>
            </w:r>
            <w:r>
              <w:rPr>
                <w:rFonts w:hint="eastAsia" w:ascii="Times New Roman" w:hAnsi="Times New Roman" w:eastAsia="宋体" w:cs="宋体"/>
                <w:bCs/>
                <w:snapToGrid/>
                <w:kern w:val="2"/>
                <w:sz w:val="24"/>
                <w:szCs w:val="24"/>
                <w:lang w:val="en-US" w:eastAsia="zh-CN" w:bidi="ar"/>
              </w:rPr>
              <w:t>）事故应急池</w:t>
            </w:r>
          </w:p>
          <w:p w14:paraId="127AF101">
            <w:pPr>
              <w:keepNext w:val="0"/>
              <w:keepLines w:val="0"/>
              <w:widowControl/>
              <w:suppressLineNumbers w:val="0"/>
              <w:adjustRightInd w:val="0"/>
              <w:snapToGrid w:val="0"/>
              <w:spacing w:before="0" w:beforeAutospacing="0" w:after="0" w:afterAutospacing="0" w:line="360" w:lineRule="auto"/>
              <w:ind w:left="0" w:right="0" w:firstLine="480" w:firstLineChars="200"/>
              <w:jc w:val="both"/>
              <w:rPr>
                <w:rFonts w:hint="default" w:eastAsia="黑体"/>
                <w:lang w:val="en-US"/>
              </w:rPr>
            </w:pPr>
            <w:r>
              <w:rPr>
                <w:rFonts w:hint="eastAsia" w:ascii="Times New Roman" w:hAnsi="Times New Roman" w:eastAsia="宋体" w:cs="宋体"/>
                <w:snapToGrid/>
                <w:kern w:val="0"/>
                <w:sz w:val="24"/>
                <w:szCs w:val="24"/>
                <w:lang w:val="en-US" w:eastAsia="zh-CN" w:bidi="ar"/>
              </w:rPr>
              <w:t>厂区采用雨污分流制，设有一座综合污水处理站、一座</w:t>
            </w:r>
            <w:r>
              <w:rPr>
                <w:rFonts w:hint="eastAsia" w:ascii="Times New Roman" w:hAnsi="Times New Roman" w:eastAsia="宋体" w:cs="Times New Roman"/>
                <w:snapToGrid/>
                <w:kern w:val="0"/>
                <w:sz w:val="24"/>
                <w:szCs w:val="24"/>
                <w:lang w:val="en-US" w:eastAsia="zh-CN" w:bidi="ar"/>
              </w:rPr>
              <w:t>20</w:t>
            </w:r>
            <w:r>
              <w:rPr>
                <w:rFonts w:hint="default" w:ascii="Times New Roman" w:hAnsi="Times New Roman" w:eastAsia="宋体" w:cs="Times New Roman"/>
                <w:snapToGrid/>
                <w:kern w:val="0"/>
                <w:sz w:val="24"/>
                <w:szCs w:val="24"/>
                <w:lang w:val="en-US" w:eastAsia="zh-CN" w:bidi="ar"/>
              </w:rPr>
              <w:t>0m</w:t>
            </w:r>
            <w:r>
              <w:rPr>
                <w:rFonts w:hint="default" w:ascii="Times New Roman" w:hAnsi="Times New Roman" w:eastAsia="宋体" w:cs="Times New Roman"/>
                <w:snapToGrid/>
                <w:kern w:val="0"/>
                <w:sz w:val="24"/>
                <w:szCs w:val="24"/>
                <w:vertAlign w:val="superscript"/>
                <w:lang w:val="en-US" w:eastAsia="zh-CN" w:bidi="ar"/>
              </w:rPr>
              <w:t>3</w:t>
            </w:r>
            <w:r>
              <w:rPr>
                <w:rFonts w:hint="eastAsia" w:ascii="Times New Roman" w:hAnsi="Times New Roman" w:eastAsia="宋体" w:cs="宋体"/>
                <w:snapToGrid/>
                <w:kern w:val="0"/>
                <w:sz w:val="24"/>
                <w:szCs w:val="24"/>
                <w:lang w:val="en-US" w:eastAsia="zh-CN" w:bidi="ar"/>
              </w:rPr>
              <w:t>的综合应急池。一旦发生事故，携带物料的消防水可收集后送入事故池，通过调节和切换，分批（限流）送入厂区废水处理站预处理，再排入城东污水处理站处理，确保事故废水不外流，实现将污染控制在厂区内的目的。</w:t>
            </w:r>
            <w:r>
              <w:rPr>
                <w:rFonts w:hint="eastAsia" w:ascii="Times New Roman" w:hAnsi="Times New Roman" w:eastAsia="宋体" w:cs="宋体"/>
                <w:snapToGrid/>
                <w:kern w:val="2"/>
                <w:sz w:val="24"/>
                <w:szCs w:val="24"/>
                <w:lang w:val="en-US" w:eastAsia="zh-CN" w:bidi="ar"/>
              </w:rPr>
              <w:t>项目事故状态下废水切断措施见下图。</w:t>
            </w:r>
          </w:p>
          <w:tbl>
            <w:tblPr>
              <w:tblStyle w:val="19"/>
              <w:tblW w:w="0" w:type="auto"/>
              <w:tblInd w:w="-108" w:type="dxa"/>
              <w:shd w:val="clear" w:color="auto" w:fill="auto"/>
              <w:tblLayout w:type="fixed"/>
              <w:tblCellMar>
                <w:top w:w="0" w:type="dxa"/>
                <w:left w:w="108" w:type="dxa"/>
                <w:bottom w:w="0" w:type="dxa"/>
                <w:right w:w="108" w:type="dxa"/>
              </w:tblCellMar>
            </w:tblPr>
            <w:tblGrid>
              <w:gridCol w:w="8522"/>
            </w:tblGrid>
            <w:tr w14:paraId="57FB6CEF">
              <w:tblPrEx>
                <w:shd w:val="clear" w:color="auto" w:fill="auto"/>
                <w:tblCellMar>
                  <w:top w:w="0" w:type="dxa"/>
                  <w:left w:w="108" w:type="dxa"/>
                  <w:bottom w:w="0" w:type="dxa"/>
                  <w:right w:w="108" w:type="dxa"/>
                </w:tblCellMar>
              </w:tblPrEx>
              <w:tc>
                <w:tcPr>
                  <w:tcW w:w="8522" w:type="dxa"/>
                  <w:shd w:val="clear" w:color="auto" w:fill="auto"/>
                  <w:vAlign w:val="top"/>
                </w:tcPr>
                <w:p w14:paraId="61FE316C">
                  <w:pPr>
                    <w:keepNext w:val="0"/>
                    <w:keepLines w:val="0"/>
                    <w:widowControl/>
                    <w:suppressLineNumbers w:val="0"/>
                    <w:adjustRightInd w:val="0"/>
                    <w:snapToGrid w:val="0"/>
                    <w:spacing w:before="0" w:beforeAutospacing="0" w:after="0" w:afterAutospacing="0" w:line="240" w:lineRule="auto"/>
                    <w:ind w:left="0" w:right="0" w:firstLine="0" w:firstLineChars="0"/>
                    <w:jc w:val="both"/>
                    <w:rPr>
                      <w:rFonts w:hint="default"/>
                      <w:szCs w:val="20"/>
                      <w:lang w:val="en-US"/>
                    </w:rPr>
                  </w:pPr>
                  <w:r>
                    <w:rPr>
                      <w:rFonts w:hint="default" w:ascii="Times New Roman" w:hAnsi="Times New Roman" w:eastAsia="宋体" w:cs="Times New Roman"/>
                      <w:snapToGrid/>
                      <w:kern w:val="2"/>
                      <w:sz w:val="24"/>
                      <w:szCs w:val="24"/>
                      <w:lang w:val="en-US" w:eastAsia="zh-CN" w:bidi="ar"/>
                    </w:rPr>
                    <w:drawing>
                      <wp:inline distT="0" distB="0" distL="114300" distR="114300">
                        <wp:extent cx="5524500" cy="4820920"/>
                        <wp:effectExtent l="0" t="0" r="0" b="17780"/>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18"/>
                                <a:stretch>
                                  <a:fillRect/>
                                </a:stretch>
                              </pic:blipFill>
                              <pic:spPr>
                                <a:xfrm>
                                  <a:off x="0" y="0"/>
                                  <a:ext cx="5524500" cy="4820920"/>
                                </a:xfrm>
                                <a:prstGeom prst="rect">
                                  <a:avLst/>
                                </a:prstGeom>
                                <a:noFill/>
                                <a:ln>
                                  <a:noFill/>
                                </a:ln>
                              </pic:spPr>
                            </pic:pic>
                          </a:graphicData>
                        </a:graphic>
                      </wp:inline>
                    </w:drawing>
                  </w:r>
                </w:p>
              </w:tc>
            </w:tr>
          </w:tbl>
          <w:p w14:paraId="5182C57C">
            <w:pPr>
              <w:keepNext w:val="0"/>
              <w:keepLines w:val="0"/>
              <w:widowControl/>
              <w:suppressLineNumbers w:val="0"/>
              <w:spacing w:before="0" w:beforeAutospacing="0" w:after="0" w:afterAutospacing="0"/>
              <w:ind w:left="0" w:right="0"/>
              <w:jc w:val="center"/>
              <w:rPr>
                <w:rFonts w:hint="default"/>
                <w:b/>
                <w:bCs/>
              </w:rPr>
            </w:pPr>
            <w:r>
              <w:rPr>
                <w:rFonts w:hint="eastAsia" w:ascii="Times New Roman" w:hAnsi="Times New Roman" w:eastAsia="宋体" w:cs="Times New Roman"/>
                <w:b/>
                <w:bCs/>
                <w:snapToGrid/>
                <w:kern w:val="2"/>
                <w:sz w:val="24"/>
                <w:szCs w:val="24"/>
                <w:lang w:val="en-US" w:eastAsia="zh-CN" w:bidi="ar"/>
              </w:rPr>
              <w:t>图3-7</w:t>
            </w:r>
            <w:r>
              <w:rPr>
                <w:rFonts w:hint="default" w:ascii="Times New Roman" w:hAnsi="Times New Roman" w:eastAsia="宋体" w:cs="Times New Roman"/>
                <w:b/>
                <w:bCs/>
                <w:snapToGrid/>
                <w:kern w:val="2"/>
                <w:sz w:val="24"/>
                <w:szCs w:val="24"/>
                <w:lang w:val="en-US" w:eastAsia="zh-CN" w:bidi="ar"/>
              </w:rPr>
              <w:t xml:space="preserve"> </w:t>
            </w:r>
            <w:r>
              <w:rPr>
                <w:rFonts w:hint="eastAsia" w:ascii="Times New Roman" w:hAnsi="Times New Roman" w:eastAsia="宋体" w:cs="Times New Roman"/>
                <w:b/>
                <w:bCs/>
                <w:snapToGrid/>
                <w:kern w:val="2"/>
                <w:sz w:val="24"/>
                <w:szCs w:val="24"/>
                <w:lang w:val="en-US" w:eastAsia="zh-CN" w:bidi="ar"/>
              </w:rPr>
              <w:t>事故状态下废水切断措施示意图</w:t>
            </w:r>
          </w:p>
          <w:p w14:paraId="127E4F97">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宋体"/>
                <w:snapToGrid/>
                <w:kern w:val="0"/>
                <w:sz w:val="24"/>
                <w:szCs w:val="24"/>
                <w:vertAlign w:val="baseline"/>
                <w:lang w:val="en-US" w:eastAsia="zh-CN" w:bidi="ar"/>
              </w:rPr>
            </w:pPr>
            <w:r>
              <w:rPr>
                <w:rFonts w:hint="eastAsia" w:ascii="Times New Roman" w:hAnsi="Times New Roman" w:eastAsia="宋体" w:cs="宋体"/>
                <w:snapToGrid/>
                <w:kern w:val="0"/>
                <w:sz w:val="24"/>
                <w:szCs w:val="24"/>
                <w:vertAlign w:val="baseline"/>
                <w:lang w:val="en-US" w:eastAsia="zh-CN" w:bidi="ar"/>
              </w:rPr>
              <w:t>3.1.5.3规范化排污口、监测设施及在线监测装置</w:t>
            </w:r>
          </w:p>
          <w:p w14:paraId="44773D38">
            <w:pPr>
              <w:keepNext w:val="0"/>
              <w:keepLines w:val="0"/>
              <w:widowControl/>
              <w:suppressLineNumbers w:val="0"/>
              <w:adjustRightInd w:val="0"/>
              <w:snapToGrid w:val="0"/>
              <w:spacing w:before="0" w:beforeAutospacing="0" w:after="0" w:afterAutospacing="0" w:line="360" w:lineRule="auto"/>
              <w:ind w:left="0" w:right="0" w:firstLine="480" w:firstLineChars="200"/>
              <w:jc w:val="both"/>
              <w:rPr>
                <w:rFonts w:hint="default"/>
                <w:lang w:val="en-US"/>
              </w:rPr>
            </w:pPr>
            <w:r>
              <w:rPr>
                <w:rFonts w:hint="eastAsia" w:ascii="Times New Roman" w:hAnsi="Times New Roman" w:eastAsia="宋体" w:cs="宋体"/>
                <w:snapToGrid/>
                <w:kern w:val="0"/>
                <w:sz w:val="24"/>
                <w:szCs w:val="24"/>
                <w:lang w:val="en-US" w:eastAsia="zh-CN" w:bidi="ar"/>
              </w:rPr>
              <w:t>（</w:t>
            </w:r>
            <w:r>
              <w:rPr>
                <w:rFonts w:hint="default" w:ascii="Times New Roman" w:hAnsi="Times New Roman" w:eastAsia="宋体" w:cs="Times New Roman"/>
                <w:snapToGrid/>
                <w:kern w:val="0"/>
                <w:sz w:val="24"/>
                <w:szCs w:val="24"/>
                <w:lang w:val="en-US" w:eastAsia="zh-CN" w:bidi="ar"/>
              </w:rPr>
              <w:t>1</w:t>
            </w:r>
            <w:r>
              <w:rPr>
                <w:rFonts w:hint="eastAsia" w:ascii="Times New Roman" w:hAnsi="Times New Roman" w:eastAsia="宋体" w:cs="宋体"/>
                <w:snapToGrid/>
                <w:kern w:val="0"/>
                <w:sz w:val="24"/>
                <w:szCs w:val="24"/>
                <w:lang w:val="en-US" w:eastAsia="zh-CN" w:bidi="ar"/>
              </w:rPr>
              <w:t xml:space="preserve">）排污口 </w:t>
            </w:r>
          </w:p>
          <w:p w14:paraId="11729E08">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宋体"/>
                <w:snapToGrid/>
                <w:kern w:val="0"/>
                <w:sz w:val="24"/>
                <w:szCs w:val="24"/>
                <w:vertAlign w:val="baseline"/>
                <w:lang w:val="en-US" w:eastAsia="zh-CN" w:bidi="ar"/>
              </w:rPr>
            </w:pPr>
            <w:r>
              <w:rPr>
                <w:rFonts w:hint="eastAsia" w:ascii="Times New Roman" w:hAnsi="Times New Roman" w:eastAsia="宋体" w:cs="宋体"/>
                <w:snapToGrid/>
                <w:kern w:val="0"/>
                <w:sz w:val="24"/>
                <w:szCs w:val="24"/>
                <w:vertAlign w:val="baseline"/>
                <w:lang w:val="en-US" w:eastAsia="zh-CN" w:bidi="ar"/>
              </w:rPr>
              <w:t>根据现场调查，厂区共</w:t>
            </w:r>
            <w:r>
              <w:rPr>
                <w:rFonts w:hint="default" w:ascii="Times New Roman" w:hAnsi="Times New Roman" w:eastAsia="宋体" w:cs="宋体"/>
                <w:snapToGrid/>
                <w:kern w:val="0"/>
                <w:sz w:val="24"/>
                <w:szCs w:val="24"/>
                <w:vertAlign w:val="baseline"/>
                <w:lang w:val="en-US" w:eastAsia="zh-CN" w:bidi="ar"/>
              </w:rPr>
              <w:t>1</w:t>
            </w:r>
            <w:r>
              <w:rPr>
                <w:rFonts w:hint="eastAsia" w:ascii="Times New Roman" w:hAnsi="Times New Roman" w:eastAsia="宋体" w:cs="宋体"/>
                <w:snapToGrid/>
                <w:kern w:val="0"/>
                <w:sz w:val="24"/>
                <w:szCs w:val="24"/>
                <w:vertAlign w:val="baseline"/>
                <w:lang w:val="en-US" w:eastAsia="zh-CN" w:bidi="ar"/>
              </w:rPr>
              <w:t>个污水总排口且设有阀门和对氨氮、</w:t>
            </w:r>
            <w:r>
              <w:rPr>
                <w:rFonts w:hint="default" w:ascii="Times New Roman" w:hAnsi="Times New Roman" w:eastAsia="宋体" w:cs="宋体"/>
                <w:snapToGrid/>
                <w:kern w:val="0"/>
                <w:sz w:val="24"/>
                <w:szCs w:val="24"/>
                <w:vertAlign w:val="baseline"/>
                <w:lang w:val="en-US" w:eastAsia="zh-CN" w:bidi="ar"/>
              </w:rPr>
              <w:t>COD</w:t>
            </w:r>
            <w:r>
              <w:rPr>
                <w:rFonts w:hint="eastAsia" w:ascii="Times New Roman" w:hAnsi="Times New Roman" w:eastAsia="宋体" w:cs="宋体"/>
                <w:snapToGrid/>
                <w:kern w:val="0"/>
                <w:sz w:val="24"/>
                <w:szCs w:val="24"/>
                <w:vertAlign w:val="baseline"/>
                <w:lang w:val="en-US" w:eastAsia="zh-CN" w:bidi="ar"/>
              </w:rPr>
              <w:t>、</w:t>
            </w:r>
            <w:r>
              <w:rPr>
                <w:rFonts w:hint="default" w:ascii="Times New Roman" w:hAnsi="Times New Roman" w:eastAsia="宋体" w:cs="宋体"/>
                <w:snapToGrid/>
                <w:kern w:val="0"/>
                <w:sz w:val="24"/>
                <w:szCs w:val="24"/>
                <w:vertAlign w:val="baseline"/>
                <w:lang w:val="en-US" w:eastAsia="zh-CN" w:bidi="ar"/>
              </w:rPr>
              <w:t>pH</w:t>
            </w:r>
            <w:r>
              <w:rPr>
                <w:rFonts w:hint="eastAsia" w:ascii="Times New Roman" w:hAnsi="Times New Roman" w:eastAsia="宋体" w:cs="宋体"/>
                <w:snapToGrid/>
                <w:kern w:val="0"/>
                <w:sz w:val="24"/>
                <w:szCs w:val="24"/>
                <w:vertAlign w:val="baseline"/>
                <w:lang w:val="en-US" w:eastAsia="zh-CN" w:bidi="ar"/>
              </w:rPr>
              <w:t>等的监控设施；设有1个雨水总排口。</w:t>
            </w:r>
          </w:p>
          <w:p w14:paraId="2E8840BA">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宋体"/>
                <w:snapToGrid/>
                <w:kern w:val="0"/>
                <w:sz w:val="24"/>
                <w:szCs w:val="24"/>
                <w:vertAlign w:val="baseline"/>
                <w:lang w:val="en-US" w:eastAsia="zh-CN" w:bidi="ar"/>
              </w:rPr>
            </w:pPr>
            <w:r>
              <w:rPr>
                <w:rFonts w:hint="eastAsia" w:ascii="Times New Roman" w:hAnsi="Times New Roman" w:eastAsia="宋体" w:cs="宋体"/>
                <w:snapToGrid/>
                <w:kern w:val="0"/>
                <w:sz w:val="24"/>
                <w:szCs w:val="24"/>
                <w:vertAlign w:val="baseline"/>
                <w:lang w:val="en-US" w:eastAsia="zh-CN" w:bidi="ar"/>
              </w:rPr>
              <w:t>（</w:t>
            </w:r>
            <w:r>
              <w:rPr>
                <w:rFonts w:hint="default" w:ascii="Times New Roman" w:hAnsi="Times New Roman" w:eastAsia="宋体" w:cs="宋体"/>
                <w:snapToGrid/>
                <w:kern w:val="0"/>
                <w:sz w:val="24"/>
                <w:szCs w:val="24"/>
                <w:vertAlign w:val="baseline"/>
                <w:lang w:val="en-US" w:eastAsia="zh-CN" w:bidi="ar"/>
              </w:rPr>
              <w:t>2</w:t>
            </w:r>
            <w:r>
              <w:rPr>
                <w:rFonts w:hint="eastAsia" w:ascii="Times New Roman" w:hAnsi="Times New Roman" w:eastAsia="宋体" w:cs="宋体"/>
                <w:snapToGrid/>
                <w:kern w:val="0"/>
                <w:sz w:val="24"/>
                <w:szCs w:val="24"/>
                <w:vertAlign w:val="baseline"/>
                <w:lang w:val="en-US" w:eastAsia="zh-CN" w:bidi="ar"/>
              </w:rPr>
              <w:t>）废气排放口</w:t>
            </w:r>
          </w:p>
          <w:p w14:paraId="41D6B55C">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宋体"/>
                <w:snapToGrid/>
                <w:kern w:val="0"/>
                <w:sz w:val="24"/>
                <w:szCs w:val="24"/>
                <w:vertAlign w:val="baseline"/>
                <w:lang w:val="en-US" w:eastAsia="zh-CN" w:bidi="ar"/>
              </w:rPr>
            </w:pPr>
            <w:r>
              <w:rPr>
                <w:rFonts w:hint="eastAsia" w:ascii="Times New Roman" w:hAnsi="Times New Roman" w:eastAsia="宋体" w:cs="宋体"/>
                <w:snapToGrid/>
                <w:kern w:val="0"/>
                <w:sz w:val="24"/>
                <w:szCs w:val="24"/>
                <w:vertAlign w:val="baseline"/>
                <w:lang w:val="en-US" w:eastAsia="zh-CN" w:bidi="ar"/>
              </w:rPr>
              <w:t>废气排放口的建设符合规定的高度和《污染源监测技术规范》中便于采样、监测的要求，设置有直径不小于</w:t>
            </w:r>
            <w:r>
              <w:rPr>
                <w:rFonts w:hint="default" w:ascii="Times New Roman" w:hAnsi="Times New Roman" w:eastAsia="宋体" w:cs="宋体"/>
                <w:snapToGrid/>
                <w:kern w:val="0"/>
                <w:sz w:val="24"/>
                <w:szCs w:val="24"/>
                <w:vertAlign w:val="baseline"/>
                <w:lang w:val="en-US" w:eastAsia="zh-CN" w:bidi="ar"/>
              </w:rPr>
              <w:t>75mm</w:t>
            </w:r>
            <w:r>
              <w:rPr>
                <w:rFonts w:hint="eastAsia" w:ascii="Times New Roman" w:hAnsi="Times New Roman" w:eastAsia="宋体" w:cs="宋体"/>
                <w:snapToGrid/>
                <w:kern w:val="0"/>
                <w:sz w:val="24"/>
                <w:szCs w:val="24"/>
                <w:vertAlign w:val="baseline"/>
                <w:lang w:val="en-US" w:eastAsia="zh-CN" w:bidi="ar"/>
              </w:rPr>
              <w:t>的采样口。</w:t>
            </w:r>
          </w:p>
          <w:p w14:paraId="7F706DDE">
            <w:pPr>
              <w:pStyle w:val="3"/>
              <w:suppressLineNumbers w:val="0"/>
              <w:bidi w:val="0"/>
              <w:spacing w:before="0" w:beforeAutospacing="0" w:after="0" w:afterAutospacing="0" w:line="360" w:lineRule="auto"/>
              <w:ind w:left="0" w:right="0"/>
              <w:rPr>
                <w:rFonts w:hint="default"/>
              </w:rPr>
            </w:pPr>
            <w:r>
              <w:rPr>
                <w:rFonts w:hint="eastAsia"/>
              </w:rPr>
              <w:t>3.2环保设施投资及“三同时”落实情况</w:t>
            </w:r>
          </w:p>
          <w:p w14:paraId="6562358D">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Tahoma" w:hAnsi="Tahoma" w:eastAsia="宋体" w:cs="Times New Roman"/>
                <w:color w:val="000000"/>
                <w:kern w:val="0"/>
                <w:sz w:val="24"/>
                <w:szCs w:val="24"/>
                <w:lang w:eastAsia="zh-CN"/>
              </w:rPr>
            </w:pPr>
            <w:r>
              <w:rPr>
                <w:rFonts w:hint="eastAsia" w:ascii="Calibri" w:hAnsi="Calibri" w:eastAsia="宋体" w:cs="Times New Roman"/>
                <w:sz w:val="24"/>
                <w:szCs w:val="24"/>
              </w:rPr>
              <w:t>本项目环评上</w:t>
            </w:r>
            <w:r>
              <w:rPr>
                <w:rFonts w:hint="eastAsia" w:ascii="宋体" w:hAnsi="宋体"/>
                <w:sz w:val="24"/>
                <w:szCs w:val="24"/>
              </w:rPr>
              <w:t>项目总投资为</w:t>
            </w:r>
            <w:r>
              <w:rPr>
                <w:rFonts w:hint="eastAsia" w:ascii="宋体" w:hAnsi="宋体"/>
                <w:sz w:val="24"/>
                <w:szCs w:val="24"/>
                <w:lang w:val="en-US" w:eastAsia="zh-CN"/>
              </w:rPr>
              <w:t>2000</w:t>
            </w:r>
            <w:r>
              <w:rPr>
                <w:rFonts w:hint="default" w:ascii="宋体" w:hAnsi="宋体"/>
                <w:sz w:val="24"/>
                <w:szCs w:val="24"/>
              </w:rPr>
              <w:t>万元</w:t>
            </w:r>
            <w:r>
              <w:rPr>
                <w:rFonts w:hint="eastAsia" w:ascii="宋体" w:hAnsi="宋体"/>
                <w:sz w:val="24"/>
                <w:szCs w:val="24"/>
              </w:rPr>
              <w:t>，其中用于环保投资的为</w:t>
            </w:r>
            <w:r>
              <w:rPr>
                <w:rFonts w:hint="eastAsia" w:ascii="宋体" w:hAnsi="宋体"/>
                <w:sz w:val="24"/>
                <w:szCs w:val="24"/>
                <w:lang w:val="en-US" w:eastAsia="zh-CN"/>
              </w:rPr>
              <w:t>53</w:t>
            </w:r>
            <w:r>
              <w:rPr>
                <w:rFonts w:hint="eastAsia" w:ascii="宋体" w:hAnsi="宋体"/>
                <w:sz w:val="24"/>
                <w:szCs w:val="24"/>
              </w:rPr>
              <w:t>万元，占项目总投资的</w:t>
            </w:r>
            <w:r>
              <w:rPr>
                <w:rFonts w:hint="eastAsia" w:ascii="宋体" w:hAnsi="宋体"/>
                <w:sz w:val="24"/>
                <w:szCs w:val="24"/>
                <w:lang w:val="en-US" w:eastAsia="zh-CN"/>
              </w:rPr>
              <w:t>1.18</w:t>
            </w:r>
            <w:r>
              <w:rPr>
                <w:rFonts w:hint="default" w:ascii="宋体" w:hAnsi="宋体"/>
                <w:sz w:val="24"/>
                <w:szCs w:val="24"/>
              </w:rPr>
              <w:t>%</w:t>
            </w:r>
            <w:r>
              <w:rPr>
                <w:rFonts w:hint="eastAsia" w:ascii="宋体" w:hAnsi="宋体"/>
                <w:sz w:val="24"/>
                <w:szCs w:val="24"/>
              </w:rPr>
              <w:t>。实际</w:t>
            </w:r>
            <w:r>
              <w:rPr>
                <w:rFonts w:hint="eastAsia" w:ascii="Calibri" w:hAnsi="Calibri" w:eastAsia="宋体" w:cs="Times New Roman"/>
                <w:sz w:val="24"/>
                <w:szCs w:val="24"/>
              </w:rPr>
              <w:t>总投资为</w:t>
            </w:r>
            <w:r>
              <w:rPr>
                <w:rFonts w:hint="eastAsia" w:ascii="宋体" w:hAnsi="宋体"/>
                <w:sz w:val="24"/>
                <w:szCs w:val="24"/>
                <w:lang w:val="en-US" w:eastAsia="zh-CN"/>
              </w:rPr>
              <w:t>2000</w:t>
            </w:r>
            <w:r>
              <w:rPr>
                <w:rFonts w:hint="default" w:ascii="宋体" w:hAnsi="宋体"/>
                <w:sz w:val="24"/>
                <w:szCs w:val="24"/>
              </w:rPr>
              <w:t>万元</w:t>
            </w:r>
            <w:r>
              <w:rPr>
                <w:rFonts w:hint="eastAsia" w:ascii="宋体" w:hAnsi="宋体"/>
                <w:sz w:val="24"/>
                <w:szCs w:val="24"/>
              </w:rPr>
              <w:t>，其中用于环保投资的为</w:t>
            </w:r>
            <w:r>
              <w:rPr>
                <w:rFonts w:hint="eastAsia" w:ascii="宋体" w:hAnsi="宋体"/>
                <w:sz w:val="24"/>
                <w:szCs w:val="24"/>
                <w:lang w:val="en-US" w:eastAsia="zh-CN"/>
              </w:rPr>
              <w:t>53</w:t>
            </w:r>
            <w:r>
              <w:rPr>
                <w:rFonts w:hint="eastAsia" w:ascii="宋体" w:hAnsi="宋体"/>
                <w:sz w:val="24"/>
                <w:szCs w:val="24"/>
              </w:rPr>
              <w:t>万元，占项目总投资的</w:t>
            </w:r>
            <w:r>
              <w:rPr>
                <w:rFonts w:hint="eastAsia" w:ascii="宋体" w:hAnsi="宋体"/>
                <w:sz w:val="24"/>
                <w:szCs w:val="24"/>
                <w:lang w:val="en-US" w:eastAsia="zh-CN"/>
              </w:rPr>
              <w:t>1.18</w:t>
            </w:r>
            <w:r>
              <w:rPr>
                <w:rFonts w:hint="default" w:ascii="宋体" w:hAnsi="宋体"/>
                <w:sz w:val="24"/>
                <w:szCs w:val="24"/>
              </w:rPr>
              <w:t>%</w:t>
            </w:r>
            <w:r>
              <w:rPr>
                <w:rFonts w:hint="eastAsia" w:ascii="Calibri" w:hAnsi="Calibri" w:eastAsia="宋体" w:cs="Times New Roman"/>
                <w:sz w:val="24"/>
                <w:szCs w:val="24"/>
              </w:rPr>
              <w:t>。本项目环境保护“三同时”验收一览表落实情况见下表。</w:t>
            </w:r>
          </w:p>
          <w:p w14:paraId="5FA58B9C">
            <w:pPr>
              <w:keepNext w:val="0"/>
              <w:keepLines w:val="0"/>
              <w:suppressLineNumbers w:val="0"/>
              <w:tabs>
                <w:tab w:val="left" w:pos="630"/>
              </w:tabs>
              <w:spacing w:before="0" w:beforeAutospacing="0" w:after="0" w:afterAutospacing="0" w:line="360" w:lineRule="auto"/>
              <w:ind w:left="0" w:right="0"/>
              <w:jc w:val="center"/>
              <w:rPr>
                <w:rFonts w:hint="eastAsia" w:ascii="Times New Roman" w:hAnsi="Times New Roman" w:eastAsia="宋体" w:cs="Times New Roman"/>
                <w:b/>
                <w:bCs/>
                <w:sz w:val="24"/>
                <w:szCs w:val="24"/>
              </w:rPr>
            </w:pPr>
            <w:r>
              <w:rPr>
                <w:rFonts w:hint="eastAsia" w:ascii="Times New Roman" w:hAnsi="Times New Roman" w:eastAsia="宋体" w:cs="Times New Roman"/>
                <w:b/>
                <w:sz w:val="24"/>
                <w:szCs w:val="24"/>
              </w:rPr>
              <w:t>表3-</w:t>
            </w:r>
            <w:r>
              <w:rPr>
                <w:rFonts w:hint="eastAsia" w:ascii="Times New Roman" w:hAnsi="Times New Roman" w:eastAsia="宋体" w:cs="Times New Roman"/>
                <w:b/>
                <w:sz w:val="24"/>
                <w:szCs w:val="24"/>
                <w:lang w:val="en-US" w:eastAsia="zh-CN"/>
              </w:rPr>
              <w:t>6</w:t>
            </w:r>
            <w:r>
              <w:rPr>
                <w:rFonts w:hint="eastAsia" w:ascii="Times New Roman" w:hAnsi="Times New Roman" w:eastAsia="宋体" w:cs="Times New Roman"/>
                <w:b/>
                <w:sz w:val="24"/>
                <w:szCs w:val="24"/>
              </w:rPr>
              <w:t xml:space="preserve"> </w:t>
            </w:r>
            <w:r>
              <w:rPr>
                <w:rFonts w:hint="eastAsia" w:ascii="Times New Roman" w:hAnsi="Times New Roman" w:eastAsia="宋体" w:cs="Times New Roman"/>
                <w:b/>
                <w:bCs/>
                <w:sz w:val="24"/>
                <w:szCs w:val="24"/>
              </w:rPr>
              <w:t>“三同时”落实情况一览表</w:t>
            </w:r>
          </w:p>
          <w:tbl>
            <w:tblPr>
              <w:tblStyle w:val="19"/>
              <w:tblW w:w="497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5"/>
              <w:gridCol w:w="1767"/>
              <w:gridCol w:w="2149"/>
              <w:gridCol w:w="2151"/>
              <w:gridCol w:w="1059"/>
              <w:gridCol w:w="1065"/>
            </w:tblGrid>
            <w:tr w14:paraId="16EC1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43BADB53">
                  <w:pPr>
                    <w:pStyle w:val="24"/>
                    <w:bidi w:val="0"/>
                  </w:pPr>
                  <w:r>
                    <w:t>序号</w:t>
                  </w:r>
                </w:p>
              </w:tc>
              <w:tc>
                <w:tcPr>
                  <w:tcW w:w="1767" w:type="dxa"/>
                  <w:tcBorders>
                    <w:top w:val="single" w:color="auto" w:sz="4" w:space="0"/>
                    <w:left w:val="nil"/>
                    <w:bottom w:val="single" w:color="auto" w:sz="4" w:space="0"/>
                    <w:right w:val="single" w:color="auto" w:sz="4" w:space="0"/>
                  </w:tcBorders>
                  <w:vAlign w:val="center"/>
                </w:tcPr>
                <w:p w14:paraId="400EB456">
                  <w:pPr>
                    <w:pStyle w:val="24"/>
                    <w:bidi w:val="0"/>
                  </w:pPr>
                  <w:r>
                    <w:t>污染源</w:t>
                  </w:r>
                </w:p>
                <w:p w14:paraId="1E66636F">
                  <w:pPr>
                    <w:pStyle w:val="24"/>
                    <w:bidi w:val="0"/>
                  </w:pPr>
                  <w:r>
                    <w:t>分类</w:t>
                  </w:r>
                </w:p>
              </w:tc>
              <w:tc>
                <w:tcPr>
                  <w:tcW w:w="2149" w:type="dxa"/>
                  <w:tcBorders>
                    <w:top w:val="single" w:color="auto" w:sz="4" w:space="0"/>
                    <w:left w:val="nil"/>
                    <w:bottom w:val="single" w:color="auto" w:sz="4" w:space="0"/>
                    <w:right w:val="single" w:color="auto" w:sz="4" w:space="0"/>
                  </w:tcBorders>
                  <w:vAlign w:val="center"/>
                </w:tcPr>
                <w:p w14:paraId="4FD2BF10">
                  <w:pPr>
                    <w:pStyle w:val="24"/>
                    <w:keepNext w:val="0"/>
                    <w:keepLines w:val="0"/>
                    <w:suppressLineNumbers w:val="0"/>
                    <w:bidi w:val="0"/>
                    <w:spacing w:before="0" w:beforeAutospacing="0" w:after="0" w:afterAutospacing="0"/>
                    <w:ind w:left="0" w:right="0"/>
                    <w:rPr>
                      <w:rFonts w:hint="eastAsia"/>
                      <w:lang w:eastAsia="zh-CN"/>
                    </w:rPr>
                  </w:pPr>
                  <w:r>
                    <w:rPr>
                      <w:rFonts w:hint="eastAsia"/>
                      <w:lang w:eastAsia="zh-CN"/>
                    </w:rPr>
                    <w:t>环评及批复</w:t>
                  </w:r>
                </w:p>
                <w:p w14:paraId="24C1DA0B">
                  <w:pPr>
                    <w:pStyle w:val="24"/>
                    <w:bidi w:val="0"/>
                  </w:pPr>
                  <w:r>
                    <w:t>污染防治措施</w:t>
                  </w:r>
                </w:p>
              </w:tc>
              <w:tc>
                <w:tcPr>
                  <w:tcW w:w="2151" w:type="dxa"/>
                  <w:tcBorders>
                    <w:top w:val="single" w:color="auto" w:sz="4" w:space="0"/>
                    <w:left w:val="nil"/>
                    <w:bottom w:val="single" w:color="auto" w:sz="4" w:space="0"/>
                    <w:right w:val="single" w:color="auto" w:sz="4" w:space="0"/>
                  </w:tcBorders>
                  <w:vAlign w:val="center"/>
                </w:tcPr>
                <w:p w14:paraId="5CE43368">
                  <w:pPr>
                    <w:pStyle w:val="24"/>
                    <w:keepNext w:val="0"/>
                    <w:keepLines w:val="0"/>
                    <w:suppressLineNumbers w:val="0"/>
                    <w:bidi w:val="0"/>
                    <w:spacing w:before="0" w:beforeAutospacing="0" w:after="0" w:afterAutospacing="0"/>
                    <w:ind w:left="0" w:leftChars="0" w:right="0" w:rightChars="0" w:firstLine="0" w:firstLineChars="0"/>
                    <w:rPr>
                      <w:rFonts w:hint="eastAsia"/>
                      <w:lang w:val="en-US" w:eastAsia="zh-CN"/>
                    </w:rPr>
                  </w:pPr>
                  <w:r>
                    <w:rPr>
                      <w:rFonts w:hint="eastAsia"/>
                      <w:lang w:val="en-US" w:eastAsia="zh-CN"/>
                    </w:rPr>
                    <w:t>实际建设</w:t>
                  </w:r>
                </w:p>
                <w:p w14:paraId="450EF6D7">
                  <w:pPr>
                    <w:pStyle w:val="24"/>
                    <w:keepNext w:val="0"/>
                    <w:keepLines w:val="0"/>
                    <w:suppressLineNumbers w:val="0"/>
                    <w:bidi w:val="0"/>
                    <w:spacing w:before="0" w:beforeAutospacing="0" w:after="0" w:afterAutospacing="0"/>
                    <w:ind w:left="0" w:leftChars="0" w:right="0" w:rightChars="0" w:firstLine="0" w:firstLineChars="0"/>
                  </w:pPr>
                  <w:r>
                    <w:rPr>
                      <w:rFonts w:hint="eastAsia"/>
                      <w:lang w:val="en-US" w:eastAsia="zh-CN"/>
                    </w:rPr>
                    <w:t>情况</w:t>
                  </w:r>
                </w:p>
              </w:tc>
              <w:tc>
                <w:tcPr>
                  <w:tcW w:w="1059" w:type="dxa"/>
                  <w:tcBorders>
                    <w:top w:val="single" w:color="auto" w:sz="4" w:space="0"/>
                    <w:left w:val="nil"/>
                    <w:bottom w:val="single" w:color="auto" w:sz="4" w:space="0"/>
                    <w:right w:val="single" w:color="auto" w:sz="4" w:space="0"/>
                  </w:tcBorders>
                  <w:vAlign w:val="center"/>
                </w:tcPr>
                <w:p w14:paraId="72F7C820">
                  <w:pPr>
                    <w:pStyle w:val="24"/>
                    <w:keepNext w:val="0"/>
                    <w:keepLines w:val="0"/>
                    <w:suppressLineNumbers w:val="0"/>
                    <w:bidi w:val="0"/>
                    <w:spacing w:before="0" w:beforeAutospacing="0" w:after="0" w:afterAutospacing="0"/>
                    <w:ind w:left="0" w:leftChars="0" w:right="0" w:rightChars="0" w:firstLine="0" w:firstLineChars="0"/>
                  </w:pPr>
                  <w:r>
                    <w:rPr>
                      <w:rFonts w:hint="eastAsia"/>
                      <w:lang w:val="en-US" w:eastAsia="zh-CN"/>
                    </w:rPr>
                    <w:t>是否落实</w:t>
                  </w:r>
                </w:p>
              </w:tc>
              <w:tc>
                <w:tcPr>
                  <w:tcW w:w="1065" w:type="dxa"/>
                  <w:tcBorders>
                    <w:top w:val="single" w:color="auto" w:sz="4" w:space="0"/>
                    <w:left w:val="nil"/>
                    <w:bottom w:val="single" w:color="auto" w:sz="4" w:space="0"/>
                    <w:right w:val="single" w:color="auto" w:sz="4" w:space="0"/>
                  </w:tcBorders>
                  <w:vAlign w:val="center"/>
                </w:tcPr>
                <w:p w14:paraId="0D62229A">
                  <w:pPr>
                    <w:pStyle w:val="24"/>
                    <w:keepNext w:val="0"/>
                    <w:keepLines w:val="0"/>
                    <w:suppressLineNumbers w:val="0"/>
                    <w:bidi w:val="0"/>
                    <w:spacing w:before="0" w:beforeAutospacing="0" w:after="0" w:afterAutospacing="0"/>
                    <w:ind w:left="0" w:leftChars="0" w:right="0" w:rightChars="0" w:firstLine="0" w:firstLineChars="0"/>
                  </w:pPr>
                  <w:r>
                    <w:rPr>
                      <w:rFonts w:hint="eastAsia"/>
                      <w:lang w:val="en-US" w:eastAsia="zh-CN"/>
                    </w:rPr>
                    <w:t>环保投资（万元）</w:t>
                  </w:r>
                </w:p>
              </w:tc>
            </w:tr>
            <w:tr w14:paraId="5F439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56" w:type="dxa"/>
                  <w:gridSpan w:val="6"/>
                  <w:tcBorders>
                    <w:top w:val="single" w:color="auto" w:sz="4" w:space="0"/>
                    <w:left w:val="single" w:color="auto" w:sz="4" w:space="0"/>
                    <w:bottom w:val="single" w:color="auto" w:sz="4" w:space="0"/>
                    <w:right w:val="single" w:color="auto" w:sz="4" w:space="0"/>
                  </w:tcBorders>
                  <w:vAlign w:val="center"/>
                </w:tcPr>
                <w:p w14:paraId="30C67BDC">
                  <w:pPr>
                    <w:pStyle w:val="24"/>
                    <w:bidi w:val="0"/>
                  </w:pPr>
                  <w:r>
                    <w:t>一、大气污染源</w:t>
                  </w:r>
                </w:p>
              </w:tc>
            </w:tr>
            <w:tr w14:paraId="3D6C2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67705F16">
                  <w:pPr>
                    <w:pStyle w:val="24"/>
                    <w:bidi w:val="0"/>
                  </w:pPr>
                  <w:r>
                    <w:t>1</w:t>
                  </w:r>
                </w:p>
              </w:tc>
              <w:tc>
                <w:tcPr>
                  <w:tcW w:w="1767" w:type="dxa"/>
                  <w:tcBorders>
                    <w:top w:val="single" w:color="auto" w:sz="4" w:space="0"/>
                    <w:left w:val="nil"/>
                    <w:bottom w:val="single" w:color="auto" w:sz="4" w:space="0"/>
                    <w:right w:val="single" w:color="auto" w:sz="4" w:space="0"/>
                  </w:tcBorders>
                  <w:vAlign w:val="center"/>
                </w:tcPr>
                <w:p w14:paraId="3BAC2F13">
                  <w:pPr>
                    <w:pStyle w:val="24"/>
                    <w:bidi w:val="0"/>
                    <w:rPr>
                      <w:rFonts w:hint="eastAsia"/>
                      <w:lang w:val="en-US" w:eastAsia="zh-CN"/>
                    </w:rPr>
                  </w:pPr>
                  <w:r>
                    <w:rPr>
                      <w:rFonts w:hint="eastAsia"/>
                      <w:lang w:val="en-US" w:eastAsia="zh-CN"/>
                    </w:rPr>
                    <w:t>打磨</w:t>
                  </w:r>
                </w:p>
                <w:p w14:paraId="684CD65B">
                  <w:pPr>
                    <w:pStyle w:val="24"/>
                    <w:bidi w:val="0"/>
                    <w:rPr>
                      <w:rFonts w:hint="default"/>
                      <w:lang w:val="en-US" w:eastAsia="zh-CN"/>
                    </w:rPr>
                  </w:pPr>
                  <w:r>
                    <w:rPr>
                      <w:rFonts w:hint="eastAsia"/>
                      <w:lang w:val="en-US" w:eastAsia="zh-CN"/>
                    </w:rPr>
                    <w:t>废气</w:t>
                  </w:r>
                </w:p>
              </w:tc>
              <w:tc>
                <w:tcPr>
                  <w:tcW w:w="2149" w:type="dxa"/>
                  <w:tcBorders>
                    <w:top w:val="single" w:color="auto" w:sz="4" w:space="0"/>
                    <w:left w:val="nil"/>
                    <w:bottom w:val="single" w:color="auto" w:sz="4" w:space="0"/>
                    <w:right w:val="single" w:color="auto" w:sz="4" w:space="0"/>
                  </w:tcBorders>
                  <w:vAlign w:val="center"/>
                </w:tcPr>
                <w:p w14:paraId="331FB795">
                  <w:pPr>
                    <w:pStyle w:val="24"/>
                    <w:bidi w:val="0"/>
                  </w:pPr>
                  <w:r>
                    <w:rPr>
                      <w:rFonts w:hint="eastAsia"/>
                      <w:lang w:eastAsia="zh-CN"/>
                    </w:rPr>
                    <w:t>收集后通过</w:t>
                  </w:r>
                  <w:r>
                    <w:rPr>
                      <w:rFonts w:hint="eastAsia"/>
                      <w:lang w:val="en-US" w:eastAsia="zh-CN"/>
                    </w:rPr>
                    <w:t>静电油雾净化器处理</w:t>
                  </w:r>
                </w:p>
              </w:tc>
              <w:tc>
                <w:tcPr>
                  <w:tcW w:w="2151" w:type="dxa"/>
                  <w:tcBorders>
                    <w:top w:val="single" w:color="auto" w:sz="4" w:space="0"/>
                    <w:left w:val="nil"/>
                    <w:bottom w:val="single" w:color="auto" w:sz="4" w:space="0"/>
                    <w:right w:val="single" w:color="auto" w:sz="4" w:space="0"/>
                  </w:tcBorders>
                  <w:vAlign w:val="center"/>
                </w:tcPr>
                <w:p w14:paraId="06599710">
                  <w:pPr>
                    <w:pStyle w:val="24"/>
                    <w:bidi w:val="0"/>
                    <w:ind w:left="0" w:leftChars="0" w:right="0" w:rightChars="0" w:firstLine="0" w:firstLineChars="0"/>
                    <w:rPr>
                      <w:rFonts w:hint="eastAsia"/>
                      <w:lang w:eastAsia="zh-CN"/>
                    </w:rPr>
                  </w:pPr>
                  <w:r>
                    <w:rPr>
                      <w:rFonts w:hint="eastAsia"/>
                      <w:lang w:eastAsia="zh-CN"/>
                    </w:rPr>
                    <w:t>收集后通过</w:t>
                  </w:r>
                  <w:r>
                    <w:rPr>
                      <w:rFonts w:hint="eastAsia"/>
                      <w:lang w:val="en-US" w:eastAsia="zh-CN"/>
                    </w:rPr>
                    <w:t>静电油雾净化器处理</w:t>
                  </w:r>
                </w:p>
              </w:tc>
              <w:tc>
                <w:tcPr>
                  <w:tcW w:w="1059" w:type="dxa"/>
                  <w:tcBorders>
                    <w:top w:val="single" w:color="auto" w:sz="4" w:space="0"/>
                    <w:left w:val="nil"/>
                    <w:right w:val="single" w:color="auto" w:sz="4" w:space="0"/>
                  </w:tcBorders>
                  <w:vAlign w:val="center"/>
                </w:tcPr>
                <w:p w14:paraId="4014D57B">
                  <w:pPr>
                    <w:pStyle w:val="24"/>
                    <w:bidi w:val="0"/>
                    <w:rPr>
                      <w:rFonts w:hint="eastAsia" w:eastAsia="宋体"/>
                      <w:lang w:val="en-US" w:eastAsia="zh-CN"/>
                    </w:rPr>
                  </w:pPr>
                  <w:r>
                    <w:rPr>
                      <w:rFonts w:hint="eastAsia"/>
                      <w:lang w:val="en-US" w:eastAsia="zh-CN"/>
                    </w:rPr>
                    <w:t>是</w:t>
                  </w:r>
                </w:p>
              </w:tc>
              <w:tc>
                <w:tcPr>
                  <w:tcW w:w="1065" w:type="dxa"/>
                  <w:tcBorders>
                    <w:top w:val="single" w:color="auto" w:sz="4" w:space="0"/>
                    <w:left w:val="nil"/>
                    <w:right w:val="single" w:color="auto" w:sz="4" w:space="0"/>
                  </w:tcBorders>
                  <w:vAlign w:val="center"/>
                </w:tcPr>
                <w:p w14:paraId="4E34D289">
                  <w:pPr>
                    <w:pStyle w:val="24"/>
                    <w:bidi w:val="0"/>
                    <w:rPr>
                      <w:rFonts w:hint="default"/>
                      <w:lang w:val="en-US" w:eastAsia="zh-CN"/>
                    </w:rPr>
                  </w:pPr>
                  <w:r>
                    <w:rPr>
                      <w:rFonts w:hint="eastAsia"/>
                      <w:lang w:val="en-US" w:eastAsia="zh-CN"/>
                    </w:rPr>
                    <w:t>18</w:t>
                  </w:r>
                </w:p>
              </w:tc>
            </w:tr>
            <w:tr w14:paraId="38A00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47C29FE1">
                  <w:pPr>
                    <w:pStyle w:val="24"/>
                    <w:bidi w:val="0"/>
                  </w:pPr>
                  <w:r>
                    <w:rPr>
                      <w:rFonts w:hint="eastAsia"/>
                    </w:rPr>
                    <w:t>2</w:t>
                  </w:r>
                </w:p>
              </w:tc>
              <w:tc>
                <w:tcPr>
                  <w:tcW w:w="1767" w:type="dxa"/>
                  <w:tcBorders>
                    <w:top w:val="single" w:color="auto" w:sz="4" w:space="0"/>
                    <w:left w:val="nil"/>
                    <w:bottom w:val="single" w:color="auto" w:sz="4" w:space="0"/>
                    <w:right w:val="single" w:color="auto" w:sz="4" w:space="0"/>
                  </w:tcBorders>
                  <w:vAlign w:val="center"/>
                </w:tcPr>
                <w:p w14:paraId="22BC9345">
                  <w:pPr>
                    <w:pStyle w:val="24"/>
                    <w:bidi w:val="0"/>
                    <w:rPr>
                      <w:rFonts w:hint="eastAsia"/>
                      <w:lang w:val="en-US" w:eastAsia="zh-CN"/>
                    </w:rPr>
                  </w:pPr>
                  <w:r>
                    <w:rPr>
                      <w:rFonts w:hint="eastAsia"/>
                      <w:lang w:val="en-US" w:eastAsia="zh-CN"/>
                    </w:rPr>
                    <w:t>抛光</w:t>
                  </w:r>
                </w:p>
                <w:p w14:paraId="75F65E93">
                  <w:pPr>
                    <w:pStyle w:val="24"/>
                    <w:bidi w:val="0"/>
                    <w:rPr>
                      <w:rFonts w:hint="default"/>
                      <w:lang w:val="en-US" w:eastAsia="zh-CN"/>
                    </w:rPr>
                  </w:pPr>
                  <w:r>
                    <w:rPr>
                      <w:rFonts w:hint="eastAsia"/>
                      <w:lang w:val="en-US" w:eastAsia="zh-CN"/>
                    </w:rPr>
                    <w:t>废气</w:t>
                  </w:r>
                </w:p>
              </w:tc>
              <w:tc>
                <w:tcPr>
                  <w:tcW w:w="2149" w:type="dxa"/>
                  <w:tcBorders>
                    <w:top w:val="single" w:color="auto" w:sz="4" w:space="0"/>
                    <w:left w:val="nil"/>
                    <w:bottom w:val="single" w:color="auto" w:sz="4" w:space="0"/>
                    <w:right w:val="single" w:color="auto" w:sz="4" w:space="0"/>
                  </w:tcBorders>
                  <w:vAlign w:val="center"/>
                </w:tcPr>
                <w:p w14:paraId="52B571C6">
                  <w:pPr>
                    <w:pStyle w:val="24"/>
                    <w:bidi w:val="0"/>
                  </w:pPr>
                  <w:r>
                    <w:rPr>
                      <w:rFonts w:hint="eastAsia"/>
                      <w:lang w:eastAsia="zh-CN"/>
                    </w:rPr>
                    <w:t>收集后通过</w:t>
                  </w:r>
                  <w:r>
                    <w:rPr>
                      <w:rFonts w:hint="eastAsia"/>
                      <w:lang w:val="en-US" w:eastAsia="zh-CN"/>
                    </w:rPr>
                    <w:t>袋式吸尘器处理</w:t>
                  </w:r>
                </w:p>
              </w:tc>
              <w:tc>
                <w:tcPr>
                  <w:tcW w:w="2151" w:type="dxa"/>
                  <w:tcBorders>
                    <w:top w:val="single" w:color="auto" w:sz="4" w:space="0"/>
                    <w:left w:val="nil"/>
                    <w:bottom w:val="single" w:color="auto" w:sz="4" w:space="0"/>
                    <w:right w:val="single" w:color="auto" w:sz="4" w:space="0"/>
                  </w:tcBorders>
                  <w:vAlign w:val="center"/>
                </w:tcPr>
                <w:p w14:paraId="4C9E8DCB">
                  <w:pPr>
                    <w:pStyle w:val="24"/>
                    <w:bidi w:val="0"/>
                    <w:ind w:left="0" w:leftChars="0" w:right="0" w:rightChars="0" w:firstLine="0" w:firstLineChars="0"/>
                    <w:rPr>
                      <w:rFonts w:hint="eastAsia"/>
                      <w:lang w:eastAsia="zh-CN"/>
                    </w:rPr>
                  </w:pPr>
                  <w:r>
                    <w:rPr>
                      <w:rFonts w:hint="eastAsia"/>
                      <w:lang w:eastAsia="zh-CN"/>
                    </w:rPr>
                    <w:t>收集后通过</w:t>
                  </w:r>
                  <w:r>
                    <w:rPr>
                      <w:rFonts w:hint="eastAsia"/>
                      <w:lang w:val="en-US" w:eastAsia="zh-CN"/>
                    </w:rPr>
                    <w:t>移动式滤筒吸尘器处理</w:t>
                  </w:r>
                </w:p>
              </w:tc>
              <w:tc>
                <w:tcPr>
                  <w:tcW w:w="1059" w:type="dxa"/>
                  <w:tcBorders>
                    <w:left w:val="nil"/>
                    <w:right w:val="single" w:color="auto" w:sz="4" w:space="0"/>
                  </w:tcBorders>
                  <w:vAlign w:val="center"/>
                </w:tcPr>
                <w:p w14:paraId="47FD7A31">
                  <w:pPr>
                    <w:pStyle w:val="24"/>
                    <w:bidi w:val="0"/>
                    <w:rPr>
                      <w:rFonts w:hint="default"/>
                      <w:lang w:val="en-US"/>
                    </w:rPr>
                  </w:pPr>
                  <w:r>
                    <w:rPr>
                      <w:rFonts w:hint="eastAsia"/>
                      <w:lang w:val="en-US" w:eastAsia="zh-CN"/>
                    </w:rPr>
                    <w:t>袋式吸尘器更换为移动式滤筒吸尘器</w:t>
                  </w:r>
                </w:p>
              </w:tc>
              <w:tc>
                <w:tcPr>
                  <w:tcW w:w="1065" w:type="dxa"/>
                  <w:tcBorders>
                    <w:left w:val="nil"/>
                    <w:right w:val="single" w:color="auto" w:sz="4" w:space="0"/>
                  </w:tcBorders>
                  <w:vAlign w:val="center"/>
                </w:tcPr>
                <w:p w14:paraId="46FC8906">
                  <w:pPr>
                    <w:pStyle w:val="24"/>
                    <w:bidi w:val="0"/>
                    <w:rPr>
                      <w:rFonts w:hint="default"/>
                      <w:lang w:val="en-US" w:eastAsia="zh-CN"/>
                    </w:rPr>
                  </w:pPr>
                  <w:r>
                    <w:rPr>
                      <w:rFonts w:hint="eastAsia"/>
                      <w:lang w:val="en-US" w:eastAsia="zh-CN"/>
                    </w:rPr>
                    <w:t>2</w:t>
                  </w:r>
                </w:p>
              </w:tc>
            </w:tr>
            <w:tr w14:paraId="0A85A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1DE15CF3">
                  <w:pPr>
                    <w:pStyle w:val="24"/>
                    <w:bidi w:val="0"/>
                    <w:rPr>
                      <w:rFonts w:hint="eastAsia"/>
                      <w:lang w:val="en-US" w:eastAsia="zh-CN"/>
                    </w:rPr>
                  </w:pPr>
                  <w:r>
                    <w:rPr>
                      <w:rFonts w:hint="eastAsia"/>
                      <w:lang w:val="en-US" w:eastAsia="zh-CN"/>
                    </w:rPr>
                    <w:t>3</w:t>
                  </w:r>
                </w:p>
              </w:tc>
              <w:tc>
                <w:tcPr>
                  <w:tcW w:w="1767" w:type="dxa"/>
                  <w:tcBorders>
                    <w:top w:val="single" w:color="auto" w:sz="4" w:space="0"/>
                    <w:left w:val="nil"/>
                    <w:bottom w:val="single" w:color="auto" w:sz="4" w:space="0"/>
                    <w:right w:val="single" w:color="auto" w:sz="4" w:space="0"/>
                  </w:tcBorders>
                  <w:vAlign w:val="center"/>
                </w:tcPr>
                <w:p w14:paraId="51F2E9BE">
                  <w:pPr>
                    <w:pStyle w:val="24"/>
                    <w:bidi w:val="0"/>
                    <w:rPr>
                      <w:rFonts w:hint="eastAsia"/>
                      <w:lang w:val="en-US" w:eastAsia="zh-CN"/>
                    </w:rPr>
                  </w:pPr>
                  <w:r>
                    <w:rPr>
                      <w:rFonts w:hint="eastAsia"/>
                      <w:lang w:val="en-US" w:eastAsia="zh-CN"/>
                    </w:rPr>
                    <w:t>食堂</w:t>
                  </w:r>
                </w:p>
                <w:p w14:paraId="2A73C7FA">
                  <w:pPr>
                    <w:pStyle w:val="24"/>
                    <w:bidi w:val="0"/>
                    <w:rPr>
                      <w:rFonts w:hint="default"/>
                      <w:lang w:val="en-US" w:eastAsia="zh-CN"/>
                    </w:rPr>
                  </w:pPr>
                  <w:r>
                    <w:rPr>
                      <w:rFonts w:hint="eastAsia"/>
                      <w:lang w:val="en-US" w:eastAsia="zh-CN"/>
                    </w:rPr>
                    <w:t>油烟</w:t>
                  </w:r>
                </w:p>
              </w:tc>
              <w:tc>
                <w:tcPr>
                  <w:tcW w:w="2149" w:type="dxa"/>
                  <w:tcBorders>
                    <w:top w:val="single" w:color="auto" w:sz="4" w:space="0"/>
                    <w:left w:val="nil"/>
                    <w:bottom w:val="single" w:color="auto" w:sz="4" w:space="0"/>
                    <w:right w:val="single" w:color="auto" w:sz="4" w:space="0"/>
                  </w:tcBorders>
                  <w:vAlign w:val="center"/>
                </w:tcPr>
                <w:p w14:paraId="6663D4CB">
                  <w:pPr>
                    <w:pStyle w:val="24"/>
                    <w:bidi w:val="0"/>
                    <w:rPr>
                      <w:rFonts w:hint="eastAsia"/>
                    </w:rPr>
                  </w:pPr>
                  <w:r>
                    <w:rPr>
                      <w:rFonts w:hint="eastAsia"/>
                      <w:lang w:eastAsia="zh-CN"/>
                    </w:rPr>
                    <w:t>油</w:t>
                  </w:r>
                  <w:r>
                    <w:rPr>
                      <w:rFonts w:hint="eastAsia"/>
                      <w:lang w:val="en-US" w:eastAsia="zh-CN"/>
                    </w:rPr>
                    <w:t>烟</w:t>
                  </w:r>
                  <w:r>
                    <w:rPr>
                      <w:rFonts w:hint="eastAsia"/>
                      <w:lang w:eastAsia="zh-CN"/>
                    </w:rPr>
                    <w:t>净化器收集处理后排放</w:t>
                  </w:r>
                </w:p>
              </w:tc>
              <w:tc>
                <w:tcPr>
                  <w:tcW w:w="2151" w:type="dxa"/>
                  <w:tcBorders>
                    <w:top w:val="single" w:color="auto" w:sz="4" w:space="0"/>
                    <w:left w:val="nil"/>
                    <w:bottom w:val="single" w:color="auto" w:sz="4" w:space="0"/>
                    <w:right w:val="single" w:color="auto" w:sz="4" w:space="0"/>
                  </w:tcBorders>
                  <w:vAlign w:val="center"/>
                </w:tcPr>
                <w:p w14:paraId="062B6152">
                  <w:pPr>
                    <w:pStyle w:val="24"/>
                    <w:bidi w:val="0"/>
                    <w:ind w:left="0" w:leftChars="0" w:right="0" w:rightChars="0" w:firstLine="0" w:firstLineChars="0"/>
                    <w:rPr>
                      <w:rFonts w:hint="eastAsia"/>
                      <w:lang w:eastAsia="zh-CN"/>
                    </w:rPr>
                  </w:pPr>
                  <w:r>
                    <w:rPr>
                      <w:rFonts w:hint="eastAsia"/>
                      <w:lang w:eastAsia="zh-CN"/>
                    </w:rPr>
                    <w:t>油</w:t>
                  </w:r>
                  <w:r>
                    <w:rPr>
                      <w:rFonts w:hint="eastAsia"/>
                      <w:lang w:val="en-US" w:eastAsia="zh-CN"/>
                    </w:rPr>
                    <w:t>烟</w:t>
                  </w:r>
                  <w:r>
                    <w:rPr>
                      <w:rFonts w:hint="eastAsia"/>
                      <w:lang w:eastAsia="zh-CN"/>
                    </w:rPr>
                    <w:t>净化器收集处理后排放</w:t>
                  </w:r>
                </w:p>
              </w:tc>
              <w:tc>
                <w:tcPr>
                  <w:tcW w:w="1059" w:type="dxa"/>
                  <w:tcBorders>
                    <w:left w:val="nil"/>
                    <w:bottom w:val="single" w:color="auto" w:sz="4" w:space="0"/>
                    <w:right w:val="single" w:color="auto" w:sz="4" w:space="0"/>
                  </w:tcBorders>
                  <w:vAlign w:val="center"/>
                </w:tcPr>
                <w:p w14:paraId="1061C344">
                  <w:pPr>
                    <w:pStyle w:val="24"/>
                    <w:bidi w:val="0"/>
                    <w:rPr>
                      <w:rFonts w:hint="eastAsia" w:eastAsia="宋体"/>
                      <w:lang w:val="en-US" w:eastAsia="zh-CN"/>
                    </w:rPr>
                  </w:pPr>
                  <w:r>
                    <w:rPr>
                      <w:rFonts w:hint="eastAsia"/>
                      <w:lang w:val="en-US" w:eastAsia="zh-CN"/>
                    </w:rPr>
                    <w:t>是</w:t>
                  </w:r>
                </w:p>
              </w:tc>
              <w:tc>
                <w:tcPr>
                  <w:tcW w:w="1065" w:type="dxa"/>
                  <w:tcBorders>
                    <w:top w:val="single" w:color="auto" w:sz="4" w:space="0"/>
                    <w:left w:val="nil"/>
                    <w:bottom w:val="single" w:color="auto" w:sz="4" w:space="0"/>
                    <w:right w:val="single" w:color="auto" w:sz="4" w:space="0"/>
                  </w:tcBorders>
                  <w:vAlign w:val="center"/>
                </w:tcPr>
                <w:p w14:paraId="2FF42422">
                  <w:pPr>
                    <w:pStyle w:val="24"/>
                    <w:bidi w:val="0"/>
                    <w:rPr>
                      <w:rFonts w:hint="default"/>
                      <w:lang w:val="en-US" w:eastAsia="zh-CN"/>
                    </w:rPr>
                  </w:pPr>
                  <w:r>
                    <w:rPr>
                      <w:rFonts w:hint="eastAsia"/>
                      <w:lang w:val="en-US" w:eastAsia="zh-CN"/>
                    </w:rPr>
                    <w:t>/</w:t>
                  </w:r>
                </w:p>
              </w:tc>
            </w:tr>
            <w:tr w14:paraId="708A1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56" w:type="dxa"/>
                  <w:gridSpan w:val="6"/>
                  <w:tcBorders>
                    <w:top w:val="single" w:color="auto" w:sz="4" w:space="0"/>
                    <w:left w:val="single" w:color="auto" w:sz="4" w:space="0"/>
                    <w:bottom w:val="single" w:color="auto" w:sz="4" w:space="0"/>
                    <w:right w:val="single" w:color="auto" w:sz="4" w:space="0"/>
                  </w:tcBorders>
                  <w:vAlign w:val="center"/>
                </w:tcPr>
                <w:p w14:paraId="02B6E646">
                  <w:pPr>
                    <w:pStyle w:val="24"/>
                    <w:bidi w:val="0"/>
                  </w:pPr>
                  <w:r>
                    <w:t>二、水污染源</w:t>
                  </w:r>
                </w:p>
              </w:tc>
            </w:tr>
            <w:tr w14:paraId="7D24A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08C6C39B">
                  <w:pPr>
                    <w:pStyle w:val="24"/>
                    <w:bidi w:val="0"/>
                  </w:pPr>
                  <w:r>
                    <w:t>1</w:t>
                  </w:r>
                </w:p>
              </w:tc>
              <w:tc>
                <w:tcPr>
                  <w:tcW w:w="1767" w:type="dxa"/>
                  <w:tcBorders>
                    <w:top w:val="single" w:color="auto" w:sz="4" w:space="0"/>
                    <w:left w:val="nil"/>
                    <w:right w:val="single" w:color="auto" w:sz="4" w:space="0"/>
                  </w:tcBorders>
                  <w:vAlign w:val="center"/>
                </w:tcPr>
                <w:p w14:paraId="4E28B725">
                  <w:pPr>
                    <w:pStyle w:val="24"/>
                    <w:bidi w:val="0"/>
                  </w:pPr>
                  <w:r>
                    <w:t>生活</w:t>
                  </w:r>
                </w:p>
                <w:p w14:paraId="39A80E00">
                  <w:pPr>
                    <w:pStyle w:val="24"/>
                    <w:bidi w:val="0"/>
                  </w:pPr>
                  <w:r>
                    <w:t>污水</w:t>
                  </w:r>
                </w:p>
              </w:tc>
              <w:tc>
                <w:tcPr>
                  <w:tcW w:w="2149" w:type="dxa"/>
                  <w:tcBorders>
                    <w:top w:val="single" w:color="auto" w:sz="4" w:space="0"/>
                    <w:left w:val="nil"/>
                    <w:bottom w:val="single" w:color="auto" w:sz="4" w:space="0"/>
                    <w:right w:val="single" w:color="auto" w:sz="4" w:space="0"/>
                  </w:tcBorders>
                  <w:vAlign w:val="center"/>
                </w:tcPr>
                <w:p w14:paraId="102774D0">
                  <w:pPr>
                    <w:pStyle w:val="24"/>
                    <w:bidi w:val="0"/>
                  </w:pPr>
                  <w:r>
                    <w:t>生活污水经化粪池处理后排入污水处理</w:t>
                  </w:r>
                  <w:r>
                    <w:rPr>
                      <w:rFonts w:hint="eastAsia"/>
                      <w:lang w:eastAsia="zh-CN"/>
                    </w:rPr>
                    <w:t>站</w:t>
                  </w:r>
                  <w:r>
                    <w:t>处理</w:t>
                  </w:r>
                </w:p>
              </w:tc>
              <w:tc>
                <w:tcPr>
                  <w:tcW w:w="2151" w:type="dxa"/>
                  <w:tcBorders>
                    <w:top w:val="single" w:color="auto" w:sz="4" w:space="0"/>
                    <w:left w:val="nil"/>
                    <w:right w:val="single" w:color="auto" w:sz="4" w:space="0"/>
                  </w:tcBorders>
                  <w:vAlign w:val="center"/>
                </w:tcPr>
                <w:p w14:paraId="6309B71A">
                  <w:pPr>
                    <w:pStyle w:val="24"/>
                    <w:bidi w:val="0"/>
                    <w:ind w:left="0" w:leftChars="0" w:right="0" w:rightChars="0" w:firstLine="0" w:firstLineChars="0"/>
                  </w:pPr>
                  <w:r>
                    <w:t>生活污水经化粪池处理后排入污水处理</w:t>
                  </w:r>
                  <w:r>
                    <w:rPr>
                      <w:rFonts w:hint="eastAsia"/>
                      <w:lang w:eastAsia="zh-CN"/>
                    </w:rPr>
                    <w:t>站</w:t>
                  </w:r>
                  <w:r>
                    <w:t>处理</w:t>
                  </w:r>
                </w:p>
              </w:tc>
              <w:tc>
                <w:tcPr>
                  <w:tcW w:w="1059" w:type="dxa"/>
                  <w:vMerge w:val="restart"/>
                  <w:tcBorders>
                    <w:top w:val="nil"/>
                    <w:left w:val="nil"/>
                    <w:right w:val="single" w:color="auto" w:sz="4" w:space="0"/>
                  </w:tcBorders>
                  <w:vAlign w:val="center"/>
                </w:tcPr>
                <w:p w14:paraId="720FC539">
                  <w:pPr>
                    <w:pStyle w:val="24"/>
                    <w:bidi w:val="0"/>
                  </w:pPr>
                  <w:r>
                    <w:rPr>
                      <w:rFonts w:hint="eastAsia"/>
                      <w:lang w:val="en-US" w:eastAsia="zh-CN"/>
                    </w:rPr>
                    <w:t>是</w:t>
                  </w:r>
                </w:p>
              </w:tc>
              <w:tc>
                <w:tcPr>
                  <w:tcW w:w="1065" w:type="dxa"/>
                  <w:tcBorders>
                    <w:top w:val="nil"/>
                    <w:left w:val="nil"/>
                    <w:right w:val="single" w:color="auto" w:sz="4" w:space="0"/>
                  </w:tcBorders>
                  <w:vAlign w:val="center"/>
                </w:tcPr>
                <w:p w14:paraId="10F6C98E">
                  <w:pPr>
                    <w:pStyle w:val="24"/>
                    <w:bidi w:val="0"/>
                    <w:rPr>
                      <w:rFonts w:hint="eastAsia"/>
                      <w:lang w:eastAsia="zh-CN"/>
                    </w:rPr>
                  </w:pPr>
                  <w:r>
                    <w:rPr>
                      <w:rFonts w:hint="eastAsia"/>
                      <w:lang w:val="en-US" w:eastAsia="zh-CN"/>
                    </w:rPr>
                    <w:t>1</w:t>
                  </w:r>
                </w:p>
              </w:tc>
            </w:tr>
            <w:tr w14:paraId="156AA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054DA11D">
                  <w:pPr>
                    <w:pStyle w:val="24"/>
                    <w:bidi w:val="0"/>
                  </w:pPr>
                  <w:r>
                    <w:rPr>
                      <w:rFonts w:hint="eastAsia"/>
                    </w:rPr>
                    <w:t>2</w:t>
                  </w:r>
                </w:p>
              </w:tc>
              <w:tc>
                <w:tcPr>
                  <w:tcW w:w="1767" w:type="dxa"/>
                  <w:tcBorders>
                    <w:top w:val="single" w:color="auto" w:sz="4" w:space="0"/>
                    <w:left w:val="nil"/>
                    <w:right w:val="single" w:color="auto" w:sz="4" w:space="0"/>
                  </w:tcBorders>
                  <w:vAlign w:val="center"/>
                </w:tcPr>
                <w:p w14:paraId="78DC31A1">
                  <w:pPr>
                    <w:pStyle w:val="24"/>
                    <w:bidi w:val="0"/>
                    <w:rPr>
                      <w:rFonts w:hint="eastAsia"/>
                      <w:lang w:eastAsia="zh-CN"/>
                    </w:rPr>
                  </w:pPr>
                  <w:r>
                    <w:rPr>
                      <w:rFonts w:hint="eastAsia"/>
                      <w:lang w:eastAsia="zh-CN"/>
                    </w:rPr>
                    <w:t>餐饮</w:t>
                  </w:r>
                </w:p>
                <w:p w14:paraId="55AD921D">
                  <w:pPr>
                    <w:pStyle w:val="24"/>
                    <w:bidi w:val="0"/>
                  </w:pPr>
                  <w:r>
                    <w:t>废水</w:t>
                  </w:r>
                </w:p>
              </w:tc>
              <w:tc>
                <w:tcPr>
                  <w:tcW w:w="2149" w:type="dxa"/>
                  <w:tcBorders>
                    <w:top w:val="single" w:color="auto" w:sz="4" w:space="0"/>
                    <w:left w:val="nil"/>
                    <w:bottom w:val="single" w:color="auto" w:sz="4" w:space="0"/>
                    <w:right w:val="single" w:color="auto" w:sz="4" w:space="0"/>
                  </w:tcBorders>
                  <w:vAlign w:val="center"/>
                </w:tcPr>
                <w:p w14:paraId="0240C2AA">
                  <w:pPr>
                    <w:pStyle w:val="24"/>
                    <w:bidi w:val="0"/>
                  </w:pPr>
                  <w:r>
                    <w:t>经</w:t>
                  </w:r>
                  <w:r>
                    <w:rPr>
                      <w:rFonts w:hint="eastAsia"/>
                      <w:lang w:eastAsia="zh-CN"/>
                    </w:rPr>
                    <w:t>隔油沉淀预处理后</w:t>
                  </w:r>
                  <w:r>
                    <w:t>排入污水处理</w:t>
                  </w:r>
                  <w:r>
                    <w:rPr>
                      <w:rFonts w:hint="eastAsia"/>
                      <w:lang w:eastAsia="zh-CN"/>
                    </w:rPr>
                    <w:t>站</w:t>
                  </w:r>
                  <w:r>
                    <w:t>处理</w:t>
                  </w:r>
                </w:p>
              </w:tc>
              <w:tc>
                <w:tcPr>
                  <w:tcW w:w="2151" w:type="dxa"/>
                  <w:tcBorders>
                    <w:left w:val="nil"/>
                    <w:bottom w:val="single" w:color="auto" w:sz="4" w:space="0"/>
                    <w:right w:val="single" w:color="auto" w:sz="4" w:space="0"/>
                  </w:tcBorders>
                  <w:vAlign w:val="center"/>
                </w:tcPr>
                <w:p w14:paraId="03C6EF1A">
                  <w:pPr>
                    <w:pStyle w:val="24"/>
                    <w:bidi w:val="0"/>
                    <w:ind w:left="0" w:leftChars="0" w:right="0" w:rightChars="0" w:firstLine="0" w:firstLineChars="0"/>
                  </w:pPr>
                  <w:r>
                    <w:t>经</w:t>
                  </w:r>
                  <w:r>
                    <w:rPr>
                      <w:rFonts w:hint="eastAsia"/>
                      <w:lang w:eastAsia="zh-CN"/>
                    </w:rPr>
                    <w:t>隔油沉淀预处理后</w:t>
                  </w:r>
                  <w:r>
                    <w:t>排入污水处理</w:t>
                  </w:r>
                  <w:r>
                    <w:rPr>
                      <w:rFonts w:hint="eastAsia"/>
                      <w:lang w:eastAsia="zh-CN"/>
                    </w:rPr>
                    <w:t>站</w:t>
                  </w:r>
                  <w:r>
                    <w:t>处理</w:t>
                  </w:r>
                </w:p>
              </w:tc>
              <w:tc>
                <w:tcPr>
                  <w:tcW w:w="1059" w:type="dxa"/>
                  <w:vMerge w:val="continue"/>
                  <w:tcBorders>
                    <w:left w:val="nil"/>
                    <w:right w:val="single" w:color="auto" w:sz="4" w:space="0"/>
                  </w:tcBorders>
                  <w:vAlign w:val="center"/>
                </w:tcPr>
                <w:p w14:paraId="3F62B56E">
                  <w:pPr>
                    <w:pStyle w:val="24"/>
                    <w:bidi w:val="0"/>
                  </w:pPr>
                </w:p>
              </w:tc>
              <w:tc>
                <w:tcPr>
                  <w:tcW w:w="1065" w:type="dxa"/>
                  <w:tcBorders>
                    <w:left w:val="nil"/>
                    <w:bottom w:val="single" w:color="auto" w:sz="4" w:space="0"/>
                    <w:right w:val="single" w:color="auto" w:sz="4" w:space="0"/>
                  </w:tcBorders>
                  <w:vAlign w:val="center"/>
                </w:tcPr>
                <w:p w14:paraId="2B3DB0A7">
                  <w:pPr>
                    <w:pStyle w:val="24"/>
                    <w:bidi w:val="0"/>
                    <w:rPr>
                      <w:rFonts w:hint="default"/>
                      <w:lang w:val="en-US" w:eastAsia="zh-CN"/>
                    </w:rPr>
                  </w:pPr>
                  <w:r>
                    <w:rPr>
                      <w:rFonts w:hint="eastAsia"/>
                      <w:lang w:val="en-US" w:eastAsia="zh-CN"/>
                    </w:rPr>
                    <w:t>2</w:t>
                  </w:r>
                </w:p>
              </w:tc>
            </w:tr>
            <w:tr w14:paraId="354AE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6705875E">
                  <w:pPr>
                    <w:pStyle w:val="24"/>
                    <w:bidi w:val="0"/>
                    <w:rPr>
                      <w:rFonts w:hint="eastAsia" w:eastAsia="宋体"/>
                      <w:lang w:val="en-US" w:eastAsia="zh-CN"/>
                    </w:rPr>
                  </w:pPr>
                  <w:r>
                    <w:rPr>
                      <w:rFonts w:hint="eastAsia"/>
                      <w:lang w:val="en-US" w:eastAsia="zh-CN"/>
                    </w:rPr>
                    <w:t>3</w:t>
                  </w:r>
                </w:p>
              </w:tc>
              <w:tc>
                <w:tcPr>
                  <w:tcW w:w="1767" w:type="dxa"/>
                  <w:tcBorders>
                    <w:top w:val="single" w:color="auto" w:sz="4" w:space="0"/>
                    <w:left w:val="nil"/>
                    <w:right w:val="single" w:color="auto" w:sz="4" w:space="0"/>
                  </w:tcBorders>
                  <w:vAlign w:val="center"/>
                </w:tcPr>
                <w:p w14:paraId="426CFFED">
                  <w:pPr>
                    <w:pStyle w:val="24"/>
                    <w:bidi w:val="0"/>
                    <w:rPr>
                      <w:rFonts w:hint="eastAsia" w:eastAsia="宋体"/>
                      <w:lang w:eastAsia="zh-CN"/>
                    </w:rPr>
                  </w:pPr>
                  <w:r>
                    <w:rPr>
                      <w:rFonts w:hint="eastAsia"/>
                      <w:lang w:eastAsia="zh-CN"/>
                    </w:rPr>
                    <w:t>超声波清洗废水、地面清洗水</w:t>
                  </w:r>
                </w:p>
              </w:tc>
              <w:tc>
                <w:tcPr>
                  <w:tcW w:w="2149" w:type="dxa"/>
                  <w:tcBorders>
                    <w:top w:val="single" w:color="auto" w:sz="4" w:space="0"/>
                    <w:left w:val="nil"/>
                    <w:bottom w:val="single" w:color="auto" w:sz="4" w:space="0"/>
                    <w:right w:val="single" w:color="auto" w:sz="4" w:space="0"/>
                  </w:tcBorders>
                  <w:vAlign w:val="center"/>
                </w:tcPr>
                <w:p w14:paraId="75097683">
                  <w:pPr>
                    <w:pStyle w:val="24"/>
                    <w:bidi w:val="0"/>
                    <w:rPr>
                      <w:rFonts w:hint="eastAsia" w:eastAsia="宋体"/>
                      <w:lang w:eastAsia="zh-CN"/>
                    </w:rPr>
                  </w:pPr>
                  <w:r>
                    <w:rPr>
                      <w:rFonts w:hint="eastAsia"/>
                      <w:lang w:eastAsia="zh-CN"/>
                    </w:rPr>
                    <w:t>排入厂内污水处理站处理</w:t>
                  </w:r>
                </w:p>
              </w:tc>
              <w:tc>
                <w:tcPr>
                  <w:tcW w:w="2151" w:type="dxa"/>
                  <w:tcBorders>
                    <w:left w:val="nil"/>
                    <w:bottom w:val="single" w:color="auto" w:sz="4" w:space="0"/>
                    <w:right w:val="single" w:color="auto" w:sz="4" w:space="0"/>
                  </w:tcBorders>
                  <w:vAlign w:val="center"/>
                </w:tcPr>
                <w:p w14:paraId="776CD184">
                  <w:pPr>
                    <w:pStyle w:val="24"/>
                    <w:bidi w:val="0"/>
                    <w:ind w:left="0" w:leftChars="0" w:right="0" w:rightChars="0" w:firstLine="0" w:firstLineChars="0"/>
                    <w:rPr>
                      <w:rFonts w:hint="eastAsia"/>
                      <w:lang w:val="en-US" w:eastAsia="zh-CN"/>
                    </w:rPr>
                  </w:pPr>
                  <w:r>
                    <w:rPr>
                      <w:rFonts w:hint="eastAsia"/>
                      <w:lang w:eastAsia="zh-CN"/>
                    </w:rPr>
                    <w:t>排入厂内污水处理站处理</w:t>
                  </w:r>
                </w:p>
              </w:tc>
              <w:tc>
                <w:tcPr>
                  <w:tcW w:w="1059" w:type="dxa"/>
                  <w:vMerge w:val="continue"/>
                  <w:tcBorders>
                    <w:left w:val="nil"/>
                    <w:bottom w:val="single" w:color="auto" w:sz="4" w:space="0"/>
                    <w:right w:val="single" w:color="auto" w:sz="4" w:space="0"/>
                  </w:tcBorders>
                  <w:vAlign w:val="center"/>
                </w:tcPr>
                <w:p w14:paraId="23F4A253">
                  <w:pPr>
                    <w:pStyle w:val="24"/>
                    <w:bidi w:val="0"/>
                  </w:pPr>
                </w:p>
              </w:tc>
              <w:tc>
                <w:tcPr>
                  <w:tcW w:w="1065" w:type="dxa"/>
                  <w:tcBorders>
                    <w:left w:val="nil"/>
                    <w:bottom w:val="single" w:color="auto" w:sz="4" w:space="0"/>
                    <w:right w:val="single" w:color="auto" w:sz="4" w:space="0"/>
                  </w:tcBorders>
                  <w:vAlign w:val="center"/>
                </w:tcPr>
                <w:p w14:paraId="79BAD408">
                  <w:pPr>
                    <w:pStyle w:val="24"/>
                    <w:bidi w:val="0"/>
                    <w:rPr>
                      <w:rFonts w:hint="default"/>
                      <w:lang w:val="en-US" w:eastAsia="zh-CN"/>
                    </w:rPr>
                  </w:pPr>
                  <w:r>
                    <w:rPr>
                      <w:rFonts w:hint="eastAsia"/>
                      <w:lang w:val="en-US" w:eastAsia="zh-CN"/>
                    </w:rPr>
                    <w:t>5</w:t>
                  </w:r>
                </w:p>
              </w:tc>
            </w:tr>
            <w:tr w14:paraId="28CC8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56" w:type="dxa"/>
                  <w:gridSpan w:val="6"/>
                  <w:tcBorders>
                    <w:top w:val="single" w:color="auto" w:sz="4" w:space="0"/>
                    <w:left w:val="single" w:color="auto" w:sz="4" w:space="0"/>
                    <w:bottom w:val="single" w:color="auto" w:sz="4" w:space="0"/>
                    <w:right w:val="single" w:color="auto" w:sz="4" w:space="0"/>
                  </w:tcBorders>
                  <w:vAlign w:val="center"/>
                </w:tcPr>
                <w:p w14:paraId="2B35C856">
                  <w:pPr>
                    <w:pStyle w:val="24"/>
                    <w:bidi w:val="0"/>
                  </w:pPr>
                  <w:r>
                    <w:t>三、固体废物</w:t>
                  </w:r>
                </w:p>
              </w:tc>
            </w:tr>
            <w:tr w14:paraId="6D175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4EFED6B9">
                  <w:pPr>
                    <w:pStyle w:val="24"/>
                    <w:bidi w:val="0"/>
                  </w:pPr>
                  <w:r>
                    <w:t>1</w:t>
                  </w:r>
                </w:p>
              </w:tc>
              <w:tc>
                <w:tcPr>
                  <w:tcW w:w="1767" w:type="dxa"/>
                  <w:tcBorders>
                    <w:top w:val="single" w:color="auto" w:sz="4" w:space="0"/>
                    <w:left w:val="nil"/>
                    <w:bottom w:val="single" w:color="auto" w:sz="4" w:space="0"/>
                    <w:right w:val="single" w:color="auto" w:sz="4" w:space="0"/>
                  </w:tcBorders>
                  <w:vAlign w:val="center"/>
                </w:tcPr>
                <w:p w14:paraId="391509D1">
                  <w:pPr>
                    <w:pStyle w:val="24"/>
                    <w:ind w:firstLine="0" w:firstLineChars="0"/>
                    <w:rPr>
                      <w:rFonts w:hint="eastAsia"/>
                      <w:lang w:val="en-US" w:eastAsia="zh-CN"/>
                    </w:rPr>
                  </w:pPr>
                  <w:r>
                    <w:rPr>
                      <w:rFonts w:hint="eastAsia"/>
                      <w:lang w:val="en-US" w:eastAsia="zh-CN"/>
                    </w:rPr>
                    <w:t>废</w:t>
                  </w:r>
                  <w:r>
                    <w:rPr>
                      <w:rFonts w:hint="eastAsia"/>
                    </w:rPr>
                    <w:t>砂轮</w:t>
                  </w:r>
                </w:p>
              </w:tc>
              <w:tc>
                <w:tcPr>
                  <w:tcW w:w="2149" w:type="dxa"/>
                  <w:vMerge w:val="restart"/>
                  <w:tcBorders>
                    <w:top w:val="single" w:color="auto" w:sz="4" w:space="0"/>
                    <w:left w:val="nil"/>
                    <w:right w:val="single" w:color="auto" w:sz="4" w:space="0"/>
                  </w:tcBorders>
                  <w:vAlign w:val="center"/>
                </w:tcPr>
                <w:p w14:paraId="7E4E9758">
                  <w:pPr>
                    <w:pStyle w:val="24"/>
                    <w:bidi w:val="0"/>
                  </w:pPr>
                  <w:r>
                    <w:rPr>
                      <w:rFonts w:hint="eastAsia"/>
                      <w:lang w:val="en-US" w:eastAsia="zh-CN"/>
                    </w:rPr>
                    <w:t>暂存一般固废间，</w:t>
                  </w:r>
                  <w:r>
                    <w:t>收集后外售</w:t>
                  </w:r>
                </w:p>
              </w:tc>
              <w:tc>
                <w:tcPr>
                  <w:tcW w:w="2151" w:type="dxa"/>
                  <w:vMerge w:val="restart"/>
                  <w:tcBorders>
                    <w:top w:val="single" w:color="auto" w:sz="4" w:space="0"/>
                    <w:left w:val="nil"/>
                    <w:right w:val="single" w:color="auto" w:sz="4" w:space="0"/>
                  </w:tcBorders>
                  <w:vAlign w:val="center"/>
                </w:tcPr>
                <w:p w14:paraId="7A768A46">
                  <w:pPr>
                    <w:pStyle w:val="24"/>
                    <w:bidi w:val="0"/>
                    <w:ind w:left="0" w:leftChars="0" w:right="0" w:rightChars="0" w:firstLine="0" w:firstLineChars="0"/>
                  </w:pPr>
                  <w:r>
                    <w:rPr>
                      <w:rFonts w:hint="eastAsia"/>
                      <w:lang w:val="en-US" w:eastAsia="zh-CN"/>
                    </w:rPr>
                    <w:t>暂存一般固废间，</w:t>
                  </w:r>
                  <w:r>
                    <w:t>收集后外售</w:t>
                  </w:r>
                </w:p>
              </w:tc>
              <w:tc>
                <w:tcPr>
                  <w:tcW w:w="1059" w:type="dxa"/>
                  <w:vMerge w:val="restart"/>
                  <w:tcBorders>
                    <w:left w:val="nil"/>
                    <w:right w:val="single" w:color="auto" w:sz="4" w:space="0"/>
                  </w:tcBorders>
                  <w:vAlign w:val="center"/>
                </w:tcPr>
                <w:p w14:paraId="345D8F04">
                  <w:pPr>
                    <w:pStyle w:val="24"/>
                    <w:bidi w:val="0"/>
                    <w:rPr>
                      <w:rFonts w:hint="eastAsia" w:eastAsia="宋体"/>
                      <w:lang w:eastAsia="zh-CN"/>
                    </w:rPr>
                  </w:pPr>
                  <w:r>
                    <w:rPr>
                      <w:rFonts w:hint="eastAsia"/>
                      <w:lang w:val="en-US" w:eastAsia="zh-CN"/>
                    </w:rPr>
                    <w:t>是</w:t>
                  </w:r>
                </w:p>
              </w:tc>
              <w:tc>
                <w:tcPr>
                  <w:tcW w:w="1065" w:type="dxa"/>
                  <w:vMerge w:val="restart"/>
                  <w:tcBorders>
                    <w:top w:val="single" w:color="auto" w:sz="4" w:space="0"/>
                    <w:left w:val="nil"/>
                    <w:right w:val="single" w:color="auto" w:sz="4" w:space="0"/>
                  </w:tcBorders>
                  <w:vAlign w:val="center"/>
                </w:tcPr>
                <w:p w14:paraId="37440E63">
                  <w:pPr>
                    <w:pStyle w:val="24"/>
                    <w:bidi w:val="0"/>
                    <w:rPr>
                      <w:rFonts w:hint="default"/>
                      <w:lang w:val="en-US" w:eastAsia="zh-CN"/>
                    </w:rPr>
                  </w:pPr>
                  <w:r>
                    <w:rPr>
                      <w:rFonts w:hint="eastAsia"/>
                      <w:lang w:val="en-US" w:eastAsia="zh-CN"/>
                    </w:rPr>
                    <w:t>20</w:t>
                  </w:r>
                </w:p>
              </w:tc>
            </w:tr>
            <w:tr w14:paraId="2AF0F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04995648">
                  <w:pPr>
                    <w:pStyle w:val="24"/>
                    <w:bidi w:val="0"/>
                  </w:pPr>
                  <w:r>
                    <w:t>2</w:t>
                  </w:r>
                </w:p>
              </w:tc>
              <w:tc>
                <w:tcPr>
                  <w:tcW w:w="1767" w:type="dxa"/>
                  <w:tcBorders>
                    <w:top w:val="single" w:color="auto" w:sz="4" w:space="0"/>
                    <w:left w:val="nil"/>
                    <w:bottom w:val="single" w:color="auto" w:sz="4" w:space="0"/>
                    <w:right w:val="single" w:color="auto" w:sz="4" w:space="0"/>
                  </w:tcBorders>
                  <w:vAlign w:val="center"/>
                </w:tcPr>
                <w:p w14:paraId="2EE59D05">
                  <w:pPr>
                    <w:pStyle w:val="24"/>
                    <w:ind w:firstLine="0" w:firstLineChars="0"/>
                    <w:rPr>
                      <w:lang w:val="en-US" w:eastAsia="zh-CN"/>
                    </w:rPr>
                  </w:pPr>
                  <w:r>
                    <w:rPr>
                      <w:rFonts w:hint="default"/>
                    </w:rPr>
                    <w:t>收集的粉尘</w:t>
                  </w:r>
                </w:p>
              </w:tc>
              <w:tc>
                <w:tcPr>
                  <w:tcW w:w="2149" w:type="dxa"/>
                  <w:vMerge w:val="continue"/>
                  <w:tcBorders>
                    <w:left w:val="nil"/>
                    <w:right w:val="single" w:color="auto" w:sz="4" w:space="0"/>
                  </w:tcBorders>
                  <w:vAlign w:val="center"/>
                </w:tcPr>
                <w:p w14:paraId="4E74EA59">
                  <w:pPr>
                    <w:pStyle w:val="24"/>
                    <w:bidi w:val="0"/>
                  </w:pPr>
                </w:p>
              </w:tc>
              <w:tc>
                <w:tcPr>
                  <w:tcW w:w="2151" w:type="dxa"/>
                  <w:vMerge w:val="continue"/>
                  <w:tcBorders>
                    <w:left w:val="nil"/>
                    <w:right w:val="single" w:color="auto" w:sz="4" w:space="0"/>
                  </w:tcBorders>
                  <w:vAlign w:val="center"/>
                </w:tcPr>
                <w:p w14:paraId="64905EE4">
                  <w:pPr>
                    <w:pStyle w:val="24"/>
                    <w:bidi w:val="0"/>
                  </w:pPr>
                </w:p>
              </w:tc>
              <w:tc>
                <w:tcPr>
                  <w:tcW w:w="1059" w:type="dxa"/>
                  <w:vMerge w:val="continue"/>
                  <w:tcBorders>
                    <w:left w:val="nil"/>
                    <w:right w:val="single" w:color="auto" w:sz="4" w:space="0"/>
                  </w:tcBorders>
                  <w:vAlign w:val="center"/>
                </w:tcPr>
                <w:p w14:paraId="73399DF6">
                  <w:pPr>
                    <w:pStyle w:val="24"/>
                    <w:bidi w:val="0"/>
                  </w:pPr>
                </w:p>
              </w:tc>
              <w:tc>
                <w:tcPr>
                  <w:tcW w:w="1065" w:type="dxa"/>
                  <w:vMerge w:val="continue"/>
                  <w:tcBorders>
                    <w:left w:val="nil"/>
                    <w:right w:val="single" w:color="auto" w:sz="4" w:space="0"/>
                  </w:tcBorders>
                  <w:vAlign w:val="center"/>
                </w:tcPr>
                <w:p w14:paraId="72B38EFC">
                  <w:pPr>
                    <w:pStyle w:val="24"/>
                    <w:bidi w:val="0"/>
                  </w:pPr>
                </w:p>
              </w:tc>
            </w:tr>
            <w:tr w14:paraId="392E4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049D6DD8">
                  <w:pPr>
                    <w:pStyle w:val="24"/>
                    <w:bidi w:val="0"/>
                  </w:pPr>
                  <w:r>
                    <w:t>3</w:t>
                  </w:r>
                </w:p>
              </w:tc>
              <w:tc>
                <w:tcPr>
                  <w:tcW w:w="1767" w:type="dxa"/>
                  <w:tcBorders>
                    <w:top w:val="single" w:color="auto" w:sz="4" w:space="0"/>
                    <w:left w:val="nil"/>
                    <w:bottom w:val="single" w:color="auto" w:sz="4" w:space="0"/>
                    <w:right w:val="single" w:color="auto" w:sz="4" w:space="0"/>
                  </w:tcBorders>
                  <w:vAlign w:val="center"/>
                </w:tcPr>
                <w:p w14:paraId="6357EAD3">
                  <w:pPr>
                    <w:pStyle w:val="24"/>
                    <w:bidi w:val="0"/>
                    <w:rPr>
                      <w:rFonts w:hint="eastAsia"/>
                      <w:lang w:val="en-US" w:eastAsia="zh-CN"/>
                    </w:rPr>
                  </w:pPr>
                  <w:r>
                    <w:rPr>
                      <w:rFonts w:hint="eastAsia"/>
                      <w:lang w:val="en-US" w:eastAsia="zh-CN"/>
                    </w:rPr>
                    <w:t>生化</w:t>
                  </w:r>
                </w:p>
                <w:p w14:paraId="58F1F7BA">
                  <w:pPr>
                    <w:pStyle w:val="24"/>
                    <w:bidi w:val="0"/>
                    <w:rPr>
                      <w:lang w:val="en-US" w:eastAsia="zh-CN"/>
                    </w:rPr>
                  </w:pPr>
                  <w:r>
                    <w:rPr>
                      <w:rFonts w:hint="eastAsia"/>
                      <w:lang w:val="en-US" w:eastAsia="zh-CN"/>
                    </w:rPr>
                    <w:t>污泥</w:t>
                  </w:r>
                </w:p>
              </w:tc>
              <w:tc>
                <w:tcPr>
                  <w:tcW w:w="2149" w:type="dxa"/>
                  <w:vMerge w:val="continue"/>
                  <w:tcBorders>
                    <w:left w:val="nil"/>
                    <w:right w:val="single" w:color="auto" w:sz="4" w:space="0"/>
                  </w:tcBorders>
                  <w:vAlign w:val="center"/>
                </w:tcPr>
                <w:p w14:paraId="18652ADB">
                  <w:pPr>
                    <w:pStyle w:val="24"/>
                    <w:bidi w:val="0"/>
                    <w:rPr>
                      <w:rFonts w:hint="eastAsia"/>
                      <w:lang w:eastAsia="zh-CN"/>
                    </w:rPr>
                  </w:pPr>
                </w:p>
              </w:tc>
              <w:tc>
                <w:tcPr>
                  <w:tcW w:w="2151" w:type="dxa"/>
                  <w:vMerge w:val="continue"/>
                  <w:tcBorders>
                    <w:left w:val="nil"/>
                    <w:right w:val="single" w:color="auto" w:sz="4" w:space="0"/>
                  </w:tcBorders>
                  <w:vAlign w:val="center"/>
                </w:tcPr>
                <w:p w14:paraId="683D5EAA">
                  <w:pPr>
                    <w:pStyle w:val="24"/>
                    <w:bidi w:val="0"/>
                  </w:pPr>
                </w:p>
              </w:tc>
              <w:tc>
                <w:tcPr>
                  <w:tcW w:w="1059" w:type="dxa"/>
                  <w:vMerge w:val="continue"/>
                  <w:tcBorders>
                    <w:left w:val="nil"/>
                    <w:right w:val="single" w:color="auto" w:sz="4" w:space="0"/>
                  </w:tcBorders>
                  <w:vAlign w:val="center"/>
                </w:tcPr>
                <w:p w14:paraId="5AF22231">
                  <w:pPr>
                    <w:pStyle w:val="24"/>
                    <w:bidi w:val="0"/>
                  </w:pPr>
                </w:p>
              </w:tc>
              <w:tc>
                <w:tcPr>
                  <w:tcW w:w="1065" w:type="dxa"/>
                  <w:vMerge w:val="continue"/>
                  <w:tcBorders>
                    <w:left w:val="nil"/>
                    <w:right w:val="single" w:color="auto" w:sz="4" w:space="0"/>
                  </w:tcBorders>
                  <w:vAlign w:val="center"/>
                </w:tcPr>
                <w:p w14:paraId="331ECABD">
                  <w:pPr>
                    <w:pStyle w:val="24"/>
                    <w:bidi w:val="0"/>
                  </w:pPr>
                </w:p>
              </w:tc>
            </w:tr>
            <w:tr w14:paraId="609A9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43C3C5D1">
                  <w:pPr>
                    <w:pStyle w:val="24"/>
                    <w:bidi w:val="0"/>
                    <w:rPr>
                      <w:rFonts w:hint="eastAsia" w:eastAsia="宋体"/>
                      <w:lang w:val="en-US" w:eastAsia="zh-CN"/>
                    </w:rPr>
                  </w:pPr>
                  <w:r>
                    <w:rPr>
                      <w:rFonts w:hint="eastAsia"/>
                      <w:lang w:val="en-US" w:eastAsia="zh-CN"/>
                    </w:rPr>
                    <w:t>4</w:t>
                  </w:r>
                </w:p>
              </w:tc>
              <w:tc>
                <w:tcPr>
                  <w:tcW w:w="1767" w:type="dxa"/>
                  <w:tcBorders>
                    <w:top w:val="single" w:color="auto" w:sz="4" w:space="0"/>
                    <w:left w:val="nil"/>
                    <w:bottom w:val="single" w:color="auto" w:sz="4" w:space="0"/>
                    <w:right w:val="single" w:color="auto" w:sz="4" w:space="0"/>
                  </w:tcBorders>
                  <w:vAlign w:val="center"/>
                </w:tcPr>
                <w:p w14:paraId="50BB08A5">
                  <w:pPr>
                    <w:pStyle w:val="24"/>
                    <w:ind w:firstLine="0" w:firstLineChars="0"/>
                    <w:rPr>
                      <w:rFonts w:hint="eastAsia"/>
                      <w:lang w:val="en-US" w:eastAsia="zh-CN"/>
                    </w:rPr>
                  </w:pPr>
                  <w:r>
                    <w:rPr>
                      <w:rFonts w:hint="eastAsia"/>
                      <w:lang w:val="en-US" w:eastAsia="zh-CN"/>
                    </w:rPr>
                    <w:t>废切削、磨削液</w:t>
                  </w:r>
                </w:p>
              </w:tc>
              <w:tc>
                <w:tcPr>
                  <w:tcW w:w="2149" w:type="dxa"/>
                  <w:vMerge w:val="restart"/>
                  <w:tcBorders>
                    <w:top w:val="single" w:color="auto" w:sz="4" w:space="0"/>
                    <w:left w:val="nil"/>
                    <w:right w:val="single" w:color="auto" w:sz="4" w:space="0"/>
                  </w:tcBorders>
                  <w:vAlign w:val="center"/>
                </w:tcPr>
                <w:p w14:paraId="0C4779F9">
                  <w:pPr>
                    <w:pStyle w:val="24"/>
                    <w:bidi w:val="0"/>
                  </w:pPr>
                  <w:r>
                    <w:t>暂存于危废间，由资质单位</w:t>
                  </w:r>
                </w:p>
                <w:p w14:paraId="13BE4508">
                  <w:pPr>
                    <w:pStyle w:val="24"/>
                    <w:bidi w:val="0"/>
                  </w:pPr>
                  <w:r>
                    <w:t>处置</w:t>
                  </w:r>
                </w:p>
              </w:tc>
              <w:tc>
                <w:tcPr>
                  <w:tcW w:w="2151" w:type="dxa"/>
                  <w:vMerge w:val="restart"/>
                  <w:tcBorders>
                    <w:top w:val="single" w:color="auto" w:sz="4" w:space="0"/>
                    <w:left w:val="nil"/>
                    <w:right w:val="single" w:color="auto" w:sz="4" w:space="0"/>
                  </w:tcBorders>
                  <w:vAlign w:val="center"/>
                </w:tcPr>
                <w:p w14:paraId="385D87C1">
                  <w:pPr>
                    <w:pStyle w:val="24"/>
                    <w:bidi w:val="0"/>
                  </w:pPr>
                  <w:r>
                    <w:t>暂存于危废间，由资质单位处置</w:t>
                  </w:r>
                </w:p>
              </w:tc>
              <w:tc>
                <w:tcPr>
                  <w:tcW w:w="1059" w:type="dxa"/>
                  <w:vMerge w:val="continue"/>
                  <w:tcBorders>
                    <w:left w:val="nil"/>
                    <w:right w:val="single" w:color="auto" w:sz="4" w:space="0"/>
                  </w:tcBorders>
                  <w:vAlign w:val="center"/>
                </w:tcPr>
                <w:p w14:paraId="7F6E2318">
                  <w:pPr>
                    <w:pStyle w:val="24"/>
                    <w:bidi w:val="0"/>
                  </w:pPr>
                </w:p>
              </w:tc>
              <w:tc>
                <w:tcPr>
                  <w:tcW w:w="1065" w:type="dxa"/>
                  <w:vMerge w:val="continue"/>
                  <w:tcBorders>
                    <w:left w:val="nil"/>
                    <w:right w:val="single" w:color="auto" w:sz="4" w:space="0"/>
                  </w:tcBorders>
                  <w:vAlign w:val="center"/>
                </w:tcPr>
                <w:p w14:paraId="62080FC5">
                  <w:pPr>
                    <w:pStyle w:val="24"/>
                    <w:bidi w:val="0"/>
                  </w:pPr>
                </w:p>
              </w:tc>
            </w:tr>
            <w:tr w14:paraId="52DEB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5840C4CB">
                  <w:pPr>
                    <w:pStyle w:val="24"/>
                    <w:bidi w:val="0"/>
                    <w:rPr>
                      <w:rFonts w:hint="default"/>
                      <w:lang w:val="en-US" w:eastAsia="zh-CN"/>
                    </w:rPr>
                  </w:pPr>
                  <w:r>
                    <w:rPr>
                      <w:rFonts w:hint="eastAsia"/>
                      <w:lang w:val="en-US" w:eastAsia="zh-CN"/>
                    </w:rPr>
                    <w:t>5</w:t>
                  </w:r>
                </w:p>
              </w:tc>
              <w:tc>
                <w:tcPr>
                  <w:tcW w:w="1767" w:type="dxa"/>
                  <w:tcBorders>
                    <w:top w:val="single" w:color="auto" w:sz="4" w:space="0"/>
                    <w:left w:val="nil"/>
                    <w:bottom w:val="single" w:color="auto" w:sz="4" w:space="0"/>
                    <w:right w:val="single" w:color="auto" w:sz="4" w:space="0"/>
                  </w:tcBorders>
                  <w:vAlign w:val="center"/>
                </w:tcPr>
                <w:p w14:paraId="7DAEBB41">
                  <w:pPr>
                    <w:pStyle w:val="24"/>
                    <w:ind w:firstLine="0" w:firstLineChars="0"/>
                    <w:rPr>
                      <w:rFonts w:hint="eastAsia"/>
                      <w:lang w:val="en-US" w:eastAsia="zh-CN"/>
                    </w:rPr>
                  </w:pPr>
                  <w:r>
                    <w:rPr>
                      <w:rFonts w:hint="eastAsia"/>
                      <w:lang w:val="en-US" w:eastAsia="zh-CN"/>
                    </w:rPr>
                    <w:t>铁屑</w:t>
                  </w:r>
                </w:p>
                <w:p w14:paraId="3329058F">
                  <w:pPr>
                    <w:pStyle w:val="24"/>
                    <w:ind w:firstLine="0" w:firstLineChars="0"/>
                    <w:rPr>
                      <w:rFonts w:hint="eastAsia"/>
                      <w:lang w:val="en-US" w:eastAsia="zh-CN"/>
                    </w:rPr>
                  </w:pPr>
                  <w:r>
                    <w:rPr>
                      <w:rFonts w:hint="eastAsia"/>
                      <w:lang w:val="en-US" w:eastAsia="zh-CN"/>
                    </w:rPr>
                    <w:t>油泥</w:t>
                  </w:r>
                </w:p>
              </w:tc>
              <w:tc>
                <w:tcPr>
                  <w:tcW w:w="2149" w:type="dxa"/>
                  <w:vMerge w:val="continue"/>
                  <w:tcBorders>
                    <w:left w:val="nil"/>
                    <w:right w:val="single" w:color="auto" w:sz="4" w:space="0"/>
                  </w:tcBorders>
                  <w:vAlign w:val="center"/>
                </w:tcPr>
                <w:p w14:paraId="7C761D97">
                  <w:pPr>
                    <w:pStyle w:val="24"/>
                    <w:bidi w:val="0"/>
                  </w:pPr>
                </w:p>
              </w:tc>
              <w:tc>
                <w:tcPr>
                  <w:tcW w:w="2151" w:type="dxa"/>
                  <w:vMerge w:val="continue"/>
                  <w:tcBorders>
                    <w:left w:val="nil"/>
                    <w:right w:val="single" w:color="auto" w:sz="4" w:space="0"/>
                  </w:tcBorders>
                  <w:vAlign w:val="center"/>
                </w:tcPr>
                <w:p w14:paraId="0BD1B01C">
                  <w:pPr>
                    <w:pStyle w:val="24"/>
                    <w:bidi w:val="0"/>
                  </w:pPr>
                </w:p>
              </w:tc>
              <w:tc>
                <w:tcPr>
                  <w:tcW w:w="1059" w:type="dxa"/>
                  <w:vMerge w:val="continue"/>
                  <w:tcBorders>
                    <w:left w:val="nil"/>
                    <w:right w:val="single" w:color="auto" w:sz="4" w:space="0"/>
                  </w:tcBorders>
                  <w:vAlign w:val="center"/>
                </w:tcPr>
                <w:p w14:paraId="152A5FDB">
                  <w:pPr>
                    <w:pStyle w:val="24"/>
                    <w:bidi w:val="0"/>
                  </w:pPr>
                </w:p>
              </w:tc>
              <w:tc>
                <w:tcPr>
                  <w:tcW w:w="1065" w:type="dxa"/>
                  <w:vMerge w:val="continue"/>
                  <w:tcBorders>
                    <w:left w:val="nil"/>
                    <w:right w:val="single" w:color="auto" w:sz="4" w:space="0"/>
                  </w:tcBorders>
                  <w:vAlign w:val="center"/>
                </w:tcPr>
                <w:p w14:paraId="3D772E00">
                  <w:pPr>
                    <w:pStyle w:val="24"/>
                    <w:bidi w:val="0"/>
                  </w:pPr>
                </w:p>
              </w:tc>
            </w:tr>
            <w:tr w14:paraId="0B976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184813E2">
                  <w:pPr>
                    <w:pStyle w:val="24"/>
                    <w:bidi w:val="0"/>
                    <w:rPr>
                      <w:rFonts w:hint="default"/>
                      <w:lang w:val="en-US" w:eastAsia="zh-CN"/>
                    </w:rPr>
                  </w:pPr>
                  <w:r>
                    <w:rPr>
                      <w:rFonts w:hint="eastAsia"/>
                      <w:lang w:val="en-US" w:eastAsia="zh-CN"/>
                    </w:rPr>
                    <w:t>6</w:t>
                  </w:r>
                </w:p>
              </w:tc>
              <w:tc>
                <w:tcPr>
                  <w:tcW w:w="1767" w:type="dxa"/>
                  <w:tcBorders>
                    <w:top w:val="single" w:color="auto" w:sz="4" w:space="0"/>
                    <w:left w:val="nil"/>
                    <w:bottom w:val="single" w:color="auto" w:sz="4" w:space="0"/>
                    <w:right w:val="single" w:color="auto" w:sz="4" w:space="0"/>
                  </w:tcBorders>
                  <w:vAlign w:val="center"/>
                </w:tcPr>
                <w:p w14:paraId="7C334B24">
                  <w:pPr>
                    <w:pStyle w:val="24"/>
                    <w:ind w:firstLine="0" w:firstLineChars="0"/>
                    <w:rPr>
                      <w:rFonts w:hint="eastAsia"/>
                      <w:lang w:eastAsia="zh-CN"/>
                    </w:rPr>
                  </w:pPr>
                  <w:r>
                    <w:rPr>
                      <w:rFonts w:hint="eastAsia"/>
                      <w:lang w:eastAsia="zh-CN"/>
                    </w:rPr>
                    <w:t>废液</w:t>
                  </w:r>
                </w:p>
                <w:p w14:paraId="7169B608">
                  <w:pPr>
                    <w:pStyle w:val="24"/>
                    <w:ind w:firstLine="0" w:firstLineChars="0"/>
                    <w:rPr>
                      <w:rFonts w:hint="eastAsia"/>
                      <w:lang w:val="en-US" w:eastAsia="zh-CN"/>
                    </w:rPr>
                  </w:pPr>
                  <w:r>
                    <w:rPr>
                      <w:rFonts w:hint="eastAsia"/>
                      <w:lang w:eastAsia="zh-CN"/>
                    </w:rPr>
                    <w:t>压油</w:t>
                  </w:r>
                </w:p>
              </w:tc>
              <w:tc>
                <w:tcPr>
                  <w:tcW w:w="2149" w:type="dxa"/>
                  <w:vMerge w:val="continue"/>
                  <w:tcBorders>
                    <w:left w:val="nil"/>
                    <w:right w:val="single" w:color="auto" w:sz="4" w:space="0"/>
                  </w:tcBorders>
                  <w:vAlign w:val="center"/>
                </w:tcPr>
                <w:p w14:paraId="1E24B86C">
                  <w:pPr>
                    <w:pStyle w:val="24"/>
                    <w:bidi w:val="0"/>
                  </w:pPr>
                </w:p>
              </w:tc>
              <w:tc>
                <w:tcPr>
                  <w:tcW w:w="2151" w:type="dxa"/>
                  <w:vMerge w:val="continue"/>
                  <w:tcBorders>
                    <w:left w:val="nil"/>
                    <w:right w:val="single" w:color="auto" w:sz="4" w:space="0"/>
                  </w:tcBorders>
                  <w:vAlign w:val="center"/>
                </w:tcPr>
                <w:p w14:paraId="19BA6B33">
                  <w:pPr>
                    <w:pStyle w:val="24"/>
                    <w:bidi w:val="0"/>
                  </w:pPr>
                </w:p>
              </w:tc>
              <w:tc>
                <w:tcPr>
                  <w:tcW w:w="1059" w:type="dxa"/>
                  <w:vMerge w:val="continue"/>
                  <w:tcBorders>
                    <w:left w:val="nil"/>
                    <w:right w:val="single" w:color="auto" w:sz="4" w:space="0"/>
                  </w:tcBorders>
                  <w:vAlign w:val="center"/>
                </w:tcPr>
                <w:p w14:paraId="28147E68">
                  <w:pPr>
                    <w:pStyle w:val="24"/>
                    <w:bidi w:val="0"/>
                  </w:pPr>
                </w:p>
              </w:tc>
              <w:tc>
                <w:tcPr>
                  <w:tcW w:w="1065" w:type="dxa"/>
                  <w:vMerge w:val="continue"/>
                  <w:tcBorders>
                    <w:left w:val="nil"/>
                    <w:right w:val="single" w:color="auto" w:sz="4" w:space="0"/>
                  </w:tcBorders>
                  <w:vAlign w:val="center"/>
                </w:tcPr>
                <w:p w14:paraId="04241545">
                  <w:pPr>
                    <w:pStyle w:val="24"/>
                    <w:bidi w:val="0"/>
                  </w:pPr>
                </w:p>
              </w:tc>
            </w:tr>
            <w:tr w14:paraId="0567C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53A57ECE">
                  <w:pPr>
                    <w:pStyle w:val="24"/>
                    <w:bidi w:val="0"/>
                    <w:rPr>
                      <w:rFonts w:hint="default"/>
                      <w:lang w:val="en-US" w:eastAsia="zh-CN"/>
                    </w:rPr>
                  </w:pPr>
                  <w:r>
                    <w:rPr>
                      <w:rFonts w:hint="eastAsia"/>
                      <w:lang w:val="en-US" w:eastAsia="zh-CN"/>
                    </w:rPr>
                    <w:t>7</w:t>
                  </w:r>
                </w:p>
              </w:tc>
              <w:tc>
                <w:tcPr>
                  <w:tcW w:w="1767" w:type="dxa"/>
                  <w:tcBorders>
                    <w:top w:val="single" w:color="auto" w:sz="4" w:space="0"/>
                    <w:left w:val="nil"/>
                    <w:bottom w:val="single" w:color="auto" w:sz="4" w:space="0"/>
                    <w:right w:val="single" w:color="auto" w:sz="4" w:space="0"/>
                  </w:tcBorders>
                  <w:vAlign w:val="center"/>
                </w:tcPr>
                <w:p w14:paraId="35E8DCB8">
                  <w:pPr>
                    <w:pStyle w:val="24"/>
                    <w:ind w:firstLine="0" w:firstLineChars="0"/>
                    <w:rPr>
                      <w:rFonts w:hint="eastAsia"/>
                      <w:lang w:val="en-US" w:eastAsia="zh-CN"/>
                    </w:rPr>
                  </w:pPr>
                  <w:r>
                    <w:t>废</w:t>
                  </w:r>
                  <w:r>
                    <w:rPr>
                      <w:rFonts w:hint="eastAsia"/>
                      <w:lang w:eastAsia="zh-CN"/>
                    </w:rPr>
                    <w:t>化学品</w:t>
                  </w:r>
                  <w:r>
                    <w:t>桶</w:t>
                  </w:r>
                </w:p>
              </w:tc>
              <w:tc>
                <w:tcPr>
                  <w:tcW w:w="2149" w:type="dxa"/>
                  <w:vMerge w:val="continue"/>
                  <w:tcBorders>
                    <w:left w:val="nil"/>
                    <w:right w:val="single" w:color="auto" w:sz="4" w:space="0"/>
                  </w:tcBorders>
                  <w:vAlign w:val="center"/>
                </w:tcPr>
                <w:p w14:paraId="5113E829">
                  <w:pPr>
                    <w:pStyle w:val="24"/>
                    <w:bidi w:val="0"/>
                  </w:pPr>
                </w:p>
              </w:tc>
              <w:tc>
                <w:tcPr>
                  <w:tcW w:w="2151" w:type="dxa"/>
                  <w:vMerge w:val="continue"/>
                  <w:tcBorders>
                    <w:left w:val="nil"/>
                    <w:right w:val="single" w:color="auto" w:sz="4" w:space="0"/>
                  </w:tcBorders>
                  <w:vAlign w:val="center"/>
                </w:tcPr>
                <w:p w14:paraId="0E844411">
                  <w:pPr>
                    <w:pStyle w:val="24"/>
                    <w:bidi w:val="0"/>
                  </w:pPr>
                </w:p>
              </w:tc>
              <w:tc>
                <w:tcPr>
                  <w:tcW w:w="1059" w:type="dxa"/>
                  <w:vMerge w:val="continue"/>
                  <w:tcBorders>
                    <w:left w:val="nil"/>
                    <w:right w:val="single" w:color="auto" w:sz="4" w:space="0"/>
                  </w:tcBorders>
                  <w:vAlign w:val="center"/>
                </w:tcPr>
                <w:p w14:paraId="629F5FAB">
                  <w:pPr>
                    <w:pStyle w:val="24"/>
                    <w:bidi w:val="0"/>
                  </w:pPr>
                </w:p>
              </w:tc>
              <w:tc>
                <w:tcPr>
                  <w:tcW w:w="1065" w:type="dxa"/>
                  <w:vMerge w:val="continue"/>
                  <w:tcBorders>
                    <w:left w:val="nil"/>
                    <w:right w:val="single" w:color="auto" w:sz="4" w:space="0"/>
                  </w:tcBorders>
                  <w:vAlign w:val="center"/>
                </w:tcPr>
                <w:p w14:paraId="5B6E6B83">
                  <w:pPr>
                    <w:pStyle w:val="24"/>
                    <w:bidi w:val="0"/>
                  </w:pPr>
                </w:p>
              </w:tc>
            </w:tr>
            <w:tr w14:paraId="31382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1CCFA457">
                  <w:pPr>
                    <w:pStyle w:val="24"/>
                    <w:bidi w:val="0"/>
                    <w:rPr>
                      <w:rFonts w:hint="default"/>
                      <w:lang w:val="en-US" w:eastAsia="zh-CN"/>
                    </w:rPr>
                  </w:pPr>
                  <w:r>
                    <w:rPr>
                      <w:rFonts w:hint="eastAsia"/>
                      <w:lang w:val="en-US" w:eastAsia="zh-CN"/>
                    </w:rPr>
                    <w:t>8</w:t>
                  </w:r>
                </w:p>
              </w:tc>
              <w:tc>
                <w:tcPr>
                  <w:tcW w:w="1767" w:type="dxa"/>
                  <w:tcBorders>
                    <w:top w:val="single" w:color="auto" w:sz="4" w:space="0"/>
                    <w:left w:val="nil"/>
                    <w:bottom w:val="single" w:color="auto" w:sz="4" w:space="0"/>
                    <w:right w:val="single" w:color="auto" w:sz="4" w:space="0"/>
                  </w:tcBorders>
                  <w:vAlign w:val="center"/>
                </w:tcPr>
                <w:p w14:paraId="78CBAA66">
                  <w:pPr>
                    <w:pStyle w:val="24"/>
                    <w:ind w:firstLine="0" w:firstLineChars="0"/>
                    <w:rPr>
                      <w:rFonts w:hint="eastAsia"/>
                      <w:lang w:val="en-US" w:eastAsia="zh-CN"/>
                    </w:rPr>
                  </w:pPr>
                  <w:r>
                    <w:rPr>
                      <w:rFonts w:hint="eastAsia"/>
                      <w:lang w:val="en-US" w:eastAsia="zh-CN"/>
                    </w:rPr>
                    <w:t>油雾净化器收集的</w:t>
                  </w:r>
                  <w:r>
                    <w:rPr>
                      <w:rFonts w:hint="eastAsia"/>
                      <w:lang w:eastAsia="zh-CN"/>
                    </w:rPr>
                    <w:t>废油</w:t>
                  </w:r>
                </w:p>
              </w:tc>
              <w:tc>
                <w:tcPr>
                  <w:tcW w:w="2149" w:type="dxa"/>
                  <w:vMerge w:val="continue"/>
                  <w:tcBorders>
                    <w:left w:val="nil"/>
                    <w:right w:val="single" w:color="auto" w:sz="4" w:space="0"/>
                  </w:tcBorders>
                  <w:vAlign w:val="center"/>
                </w:tcPr>
                <w:p w14:paraId="1B2EC622">
                  <w:pPr>
                    <w:pStyle w:val="24"/>
                    <w:bidi w:val="0"/>
                  </w:pPr>
                </w:p>
              </w:tc>
              <w:tc>
                <w:tcPr>
                  <w:tcW w:w="2151" w:type="dxa"/>
                  <w:vMerge w:val="continue"/>
                  <w:tcBorders>
                    <w:left w:val="nil"/>
                    <w:right w:val="single" w:color="auto" w:sz="4" w:space="0"/>
                  </w:tcBorders>
                  <w:vAlign w:val="center"/>
                </w:tcPr>
                <w:p w14:paraId="53B33EF4">
                  <w:pPr>
                    <w:pStyle w:val="24"/>
                    <w:bidi w:val="0"/>
                  </w:pPr>
                </w:p>
              </w:tc>
              <w:tc>
                <w:tcPr>
                  <w:tcW w:w="1059" w:type="dxa"/>
                  <w:vMerge w:val="continue"/>
                  <w:tcBorders>
                    <w:left w:val="nil"/>
                    <w:right w:val="single" w:color="auto" w:sz="4" w:space="0"/>
                  </w:tcBorders>
                  <w:vAlign w:val="center"/>
                </w:tcPr>
                <w:p w14:paraId="3EB69F36">
                  <w:pPr>
                    <w:pStyle w:val="24"/>
                    <w:bidi w:val="0"/>
                  </w:pPr>
                </w:p>
              </w:tc>
              <w:tc>
                <w:tcPr>
                  <w:tcW w:w="1065" w:type="dxa"/>
                  <w:vMerge w:val="continue"/>
                  <w:tcBorders>
                    <w:left w:val="nil"/>
                    <w:right w:val="single" w:color="auto" w:sz="4" w:space="0"/>
                  </w:tcBorders>
                  <w:vAlign w:val="center"/>
                </w:tcPr>
                <w:p w14:paraId="0E2A5B86">
                  <w:pPr>
                    <w:pStyle w:val="24"/>
                    <w:bidi w:val="0"/>
                  </w:pPr>
                </w:p>
              </w:tc>
            </w:tr>
            <w:tr w14:paraId="52952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54E43FA3">
                  <w:pPr>
                    <w:pStyle w:val="24"/>
                    <w:bidi w:val="0"/>
                    <w:rPr>
                      <w:rFonts w:hint="default"/>
                      <w:lang w:val="en-US" w:eastAsia="zh-CN"/>
                    </w:rPr>
                  </w:pPr>
                  <w:r>
                    <w:rPr>
                      <w:rFonts w:hint="eastAsia"/>
                      <w:lang w:val="en-US" w:eastAsia="zh-CN"/>
                    </w:rPr>
                    <w:t>9</w:t>
                  </w:r>
                </w:p>
              </w:tc>
              <w:tc>
                <w:tcPr>
                  <w:tcW w:w="1767" w:type="dxa"/>
                  <w:tcBorders>
                    <w:top w:val="single" w:color="auto" w:sz="4" w:space="0"/>
                    <w:left w:val="nil"/>
                    <w:bottom w:val="single" w:color="auto" w:sz="4" w:space="0"/>
                    <w:right w:val="single" w:color="auto" w:sz="4" w:space="0"/>
                  </w:tcBorders>
                  <w:vAlign w:val="center"/>
                </w:tcPr>
                <w:p w14:paraId="3D5322A8">
                  <w:pPr>
                    <w:pStyle w:val="24"/>
                    <w:ind w:firstLine="0" w:firstLineChars="0"/>
                    <w:rPr>
                      <w:rFonts w:hint="eastAsia"/>
                      <w:lang w:val="en-US" w:eastAsia="zh-CN"/>
                    </w:rPr>
                  </w:pPr>
                  <w:r>
                    <w:rPr>
                      <w:rFonts w:hint="eastAsia"/>
                      <w:lang w:val="en-US" w:eastAsia="zh-CN"/>
                    </w:rPr>
                    <w:t>含油</w:t>
                  </w:r>
                </w:p>
                <w:p w14:paraId="41B5F9B0">
                  <w:pPr>
                    <w:pStyle w:val="24"/>
                    <w:ind w:firstLine="0" w:firstLineChars="0"/>
                    <w:rPr>
                      <w:rFonts w:hint="eastAsia"/>
                      <w:lang w:val="en-US" w:eastAsia="zh-CN"/>
                    </w:rPr>
                  </w:pPr>
                  <w:r>
                    <w:rPr>
                      <w:rFonts w:hint="eastAsia"/>
                      <w:lang w:val="en-US" w:eastAsia="zh-CN"/>
                    </w:rPr>
                    <w:t>污泥</w:t>
                  </w:r>
                </w:p>
              </w:tc>
              <w:tc>
                <w:tcPr>
                  <w:tcW w:w="2149" w:type="dxa"/>
                  <w:vMerge w:val="continue"/>
                  <w:tcBorders>
                    <w:left w:val="nil"/>
                    <w:right w:val="single" w:color="auto" w:sz="4" w:space="0"/>
                  </w:tcBorders>
                  <w:vAlign w:val="center"/>
                </w:tcPr>
                <w:p w14:paraId="54FA2644">
                  <w:pPr>
                    <w:pStyle w:val="24"/>
                    <w:bidi w:val="0"/>
                  </w:pPr>
                </w:p>
              </w:tc>
              <w:tc>
                <w:tcPr>
                  <w:tcW w:w="2151" w:type="dxa"/>
                  <w:vMerge w:val="continue"/>
                  <w:tcBorders>
                    <w:left w:val="nil"/>
                    <w:right w:val="single" w:color="auto" w:sz="4" w:space="0"/>
                  </w:tcBorders>
                  <w:vAlign w:val="center"/>
                </w:tcPr>
                <w:p w14:paraId="652DB576">
                  <w:pPr>
                    <w:pStyle w:val="24"/>
                    <w:bidi w:val="0"/>
                  </w:pPr>
                </w:p>
              </w:tc>
              <w:tc>
                <w:tcPr>
                  <w:tcW w:w="1059" w:type="dxa"/>
                  <w:vMerge w:val="continue"/>
                  <w:tcBorders>
                    <w:left w:val="nil"/>
                    <w:right w:val="single" w:color="auto" w:sz="4" w:space="0"/>
                  </w:tcBorders>
                  <w:vAlign w:val="center"/>
                </w:tcPr>
                <w:p w14:paraId="5E64CFD8">
                  <w:pPr>
                    <w:pStyle w:val="24"/>
                    <w:bidi w:val="0"/>
                  </w:pPr>
                </w:p>
              </w:tc>
              <w:tc>
                <w:tcPr>
                  <w:tcW w:w="1065" w:type="dxa"/>
                  <w:vMerge w:val="continue"/>
                  <w:tcBorders>
                    <w:left w:val="nil"/>
                    <w:right w:val="single" w:color="auto" w:sz="4" w:space="0"/>
                  </w:tcBorders>
                  <w:vAlign w:val="center"/>
                </w:tcPr>
                <w:p w14:paraId="57E4658A">
                  <w:pPr>
                    <w:pStyle w:val="24"/>
                    <w:bidi w:val="0"/>
                  </w:pPr>
                </w:p>
              </w:tc>
            </w:tr>
            <w:tr w14:paraId="55DF6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36C85D15">
                  <w:pPr>
                    <w:pStyle w:val="24"/>
                    <w:bidi w:val="0"/>
                    <w:rPr>
                      <w:rFonts w:hint="default"/>
                      <w:lang w:val="en-US" w:eastAsia="zh-CN"/>
                    </w:rPr>
                  </w:pPr>
                  <w:r>
                    <w:rPr>
                      <w:rFonts w:hint="eastAsia"/>
                      <w:lang w:val="en-US" w:eastAsia="zh-CN"/>
                    </w:rPr>
                    <w:t>10</w:t>
                  </w:r>
                </w:p>
              </w:tc>
              <w:tc>
                <w:tcPr>
                  <w:tcW w:w="1767" w:type="dxa"/>
                  <w:tcBorders>
                    <w:top w:val="single" w:color="auto" w:sz="4" w:space="0"/>
                    <w:left w:val="nil"/>
                    <w:bottom w:val="single" w:color="auto" w:sz="4" w:space="0"/>
                    <w:right w:val="single" w:color="auto" w:sz="4" w:space="0"/>
                  </w:tcBorders>
                  <w:vAlign w:val="center"/>
                </w:tcPr>
                <w:p w14:paraId="09839775">
                  <w:pPr>
                    <w:pStyle w:val="24"/>
                    <w:bidi w:val="0"/>
                  </w:pPr>
                  <w:r>
                    <w:t>生活</w:t>
                  </w:r>
                </w:p>
                <w:p w14:paraId="17B87994">
                  <w:pPr>
                    <w:pStyle w:val="24"/>
                    <w:bidi w:val="0"/>
                  </w:pPr>
                  <w:r>
                    <w:t>垃圾</w:t>
                  </w:r>
                </w:p>
              </w:tc>
              <w:tc>
                <w:tcPr>
                  <w:tcW w:w="2149" w:type="dxa"/>
                  <w:tcBorders>
                    <w:top w:val="single" w:color="auto" w:sz="4" w:space="0"/>
                    <w:left w:val="nil"/>
                    <w:right w:val="single" w:color="auto" w:sz="4" w:space="0"/>
                  </w:tcBorders>
                  <w:vAlign w:val="center"/>
                </w:tcPr>
                <w:p w14:paraId="42E5BE62">
                  <w:pPr>
                    <w:pStyle w:val="24"/>
                    <w:bidi w:val="0"/>
                  </w:pPr>
                  <w:r>
                    <w:rPr>
                      <w:rFonts w:hint="eastAsia"/>
                      <w:lang w:eastAsia="zh-CN"/>
                    </w:rPr>
                    <w:t>依托现有垃圾桶，</w:t>
                  </w:r>
                  <w:r>
                    <w:t>环卫部门处理</w:t>
                  </w:r>
                </w:p>
              </w:tc>
              <w:tc>
                <w:tcPr>
                  <w:tcW w:w="2151" w:type="dxa"/>
                  <w:tcBorders>
                    <w:top w:val="single" w:color="auto" w:sz="4" w:space="0"/>
                    <w:left w:val="nil"/>
                    <w:bottom w:val="single" w:color="auto" w:sz="4" w:space="0"/>
                    <w:right w:val="single" w:color="auto" w:sz="4" w:space="0"/>
                  </w:tcBorders>
                  <w:vAlign w:val="center"/>
                </w:tcPr>
                <w:p w14:paraId="0CC3EA19">
                  <w:pPr>
                    <w:pStyle w:val="24"/>
                    <w:bidi w:val="0"/>
                    <w:rPr>
                      <w:rFonts w:hint="eastAsia"/>
                      <w:lang w:eastAsia="zh-CN"/>
                    </w:rPr>
                  </w:pPr>
                  <w:r>
                    <w:rPr>
                      <w:rFonts w:hint="eastAsia"/>
                      <w:lang w:eastAsia="zh-CN"/>
                    </w:rPr>
                    <w:t>依托现有垃圾桶，</w:t>
                  </w:r>
                  <w:r>
                    <w:t>环卫部门处理</w:t>
                  </w:r>
                </w:p>
              </w:tc>
              <w:tc>
                <w:tcPr>
                  <w:tcW w:w="1059" w:type="dxa"/>
                  <w:vMerge w:val="continue"/>
                  <w:tcBorders>
                    <w:left w:val="nil"/>
                    <w:right w:val="single" w:color="auto" w:sz="4" w:space="0"/>
                  </w:tcBorders>
                  <w:vAlign w:val="center"/>
                </w:tcPr>
                <w:p w14:paraId="12C76476">
                  <w:pPr>
                    <w:pStyle w:val="24"/>
                    <w:bidi w:val="0"/>
                  </w:pPr>
                </w:p>
              </w:tc>
              <w:tc>
                <w:tcPr>
                  <w:tcW w:w="1065" w:type="dxa"/>
                  <w:vMerge w:val="continue"/>
                  <w:tcBorders>
                    <w:left w:val="nil"/>
                    <w:bottom w:val="single" w:color="auto" w:sz="4" w:space="0"/>
                    <w:right w:val="single" w:color="auto" w:sz="4" w:space="0"/>
                  </w:tcBorders>
                  <w:vAlign w:val="center"/>
                </w:tcPr>
                <w:p w14:paraId="1C0FEEF3">
                  <w:pPr>
                    <w:pStyle w:val="24"/>
                    <w:bidi w:val="0"/>
                  </w:pPr>
                </w:p>
              </w:tc>
            </w:tr>
            <w:tr w14:paraId="7D97A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56" w:type="dxa"/>
                  <w:gridSpan w:val="6"/>
                  <w:tcBorders>
                    <w:top w:val="single" w:color="auto" w:sz="4" w:space="0"/>
                    <w:left w:val="single" w:color="auto" w:sz="4" w:space="0"/>
                    <w:bottom w:val="single" w:color="auto" w:sz="4" w:space="0"/>
                    <w:right w:val="single" w:color="auto" w:sz="4" w:space="0"/>
                  </w:tcBorders>
                  <w:vAlign w:val="center"/>
                </w:tcPr>
                <w:p w14:paraId="538CF088">
                  <w:pPr>
                    <w:pStyle w:val="24"/>
                    <w:bidi w:val="0"/>
                  </w:pPr>
                  <w:r>
                    <w:t>四、噪声</w:t>
                  </w:r>
                </w:p>
              </w:tc>
            </w:tr>
            <w:tr w14:paraId="1B58A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5" w:type="dxa"/>
                  <w:tcBorders>
                    <w:top w:val="single" w:color="auto" w:sz="4" w:space="0"/>
                    <w:left w:val="single" w:color="auto" w:sz="4" w:space="0"/>
                    <w:bottom w:val="single" w:color="auto" w:sz="4" w:space="0"/>
                    <w:right w:val="single" w:color="auto" w:sz="4" w:space="0"/>
                  </w:tcBorders>
                  <w:vAlign w:val="center"/>
                </w:tcPr>
                <w:p w14:paraId="0851CB8B">
                  <w:pPr>
                    <w:pStyle w:val="24"/>
                    <w:bidi w:val="0"/>
                  </w:pPr>
                  <w:r>
                    <w:t>1</w:t>
                  </w:r>
                </w:p>
              </w:tc>
              <w:tc>
                <w:tcPr>
                  <w:tcW w:w="1767" w:type="dxa"/>
                  <w:tcBorders>
                    <w:top w:val="single" w:color="auto" w:sz="4" w:space="0"/>
                    <w:left w:val="nil"/>
                    <w:bottom w:val="single" w:color="auto" w:sz="4" w:space="0"/>
                    <w:right w:val="single" w:color="auto" w:sz="4" w:space="0"/>
                  </w:tcBorders>
                  <w:vAlign w:val="center"/>
                </w:tcPr>
                <w:p w14:paraId="32027D84">
                  <w:pPr>
                    <w:pStyle w:val="24"/>
                    <w:bidi w:val="0"/>
                  </w:pPr>
                  <w:r>
                    <w:t>机械设备噪声</w:t>
                  </w:r>
                </w:p>
              </w:tc>
              <w:tc>
                <w:tcPr>
                  <w:tcW w:w="2149" w:type="dxa"/>
                  <w:tcBorders>
                    <w:top w:val="single" w:color="auto" w:sz="4" w:space="0"/>
                    <w:left w:val="nil"/>
                    <w:bottom w:val="single" w:color="auto" w:sz="4" w:space="0"/>
                    <w:right w:val="single" w:color="auto" w:sz="4" w:space="0"/>
                  </w:tcBorders>
                  <w:vAlign w:val="center"/>
                </w:tcPr>
                <w:p w14:paraId="6CBC2D50">
                  <w:pPr>
                    <w:pStyle w:val="24"/>
                    <w:bidi w:val="0"/>
                  </w:pPr>
                  <w:r>
                    <w:t>合理布置高噪声设备，减振安装、隔声措施</w:t>
                  </w:r>
                </w:p>
              </w:tc>
              <w:tc>
                <w:tcPr>
                  <w:tcW w:w="2151" w:type="dxa"/>
                  <w:tcBorders>
                    <w:top w:val="single" w:color="auto" w:sz="4" w:space="0"/>
                    <w:left w:val="nil"/>
                    <w:bottom w:val="single" w:color="auto" w:sz="4" w:space="0"/>
                    <w:right w:val="single" w:color="auto" w:sz="4" w:space="0"/>
                  </w:tcBorders>
                  <w:vAlign w:val="center"/>
                </w:tcPr>
                <w:p w14:paraId="7C802186">
                  <w:pPr>
                    <w:pStyle w:val="24"/>
                    <w:bidi w:val="0"/>
                  </w:pPr>
                  <w:r>
                    <w:t>合理布置高噪声设备，减振安装、隔声措施</w:t>
                  </w:r>
                </w:p>
              </w:tc>
              <w:tc>
                <w:tcPr>
                  <w:tcW w:w="1059" w:type="dxa"/>
                  <w:tcBorders>
                    <w:top w:val="nil"/>
                    <w:left w:val="nil"/>
                    <w:bottom w:val="single" w:color="auto" w:sz="4" w:space="0"/>
                    <w:right w:val="single" w:color="auto" w:sz="4" w:space="0"/>
                  </w:tcBorders>
                  <w:vAlign w:val="center"/>
                </w:tcPr>
                <w:p w14:paraId="158FDE50">
                  <w:pPr>
                    <w:pStyle w:val="24"/>
                    <w:bidi w:val="0"/>
                    <w:rPr>
                      <w:rFonts w:hint="eastAsia" w:eastAsia="宋体"/>
                      <w:lang w:val="en-US" w:eastAsia="zh-CN"/>
                    </w:rPr>
                  </w:pPr>
                  <w:r>
                    <w:rPr>
                      <w:rFonts w:hint="eastAsia"/>
                      <w:lang w:val="en-US" w:eastAsia="zh-CN"/>
                    </w:rPr>
                    <w:t>是</w:t>
                  </w:r>
                </w:p>
              </w:tc>
              <w:tc>
                <w:tcPr>
                  <w:tcW w:w="1065" w:type="dxa"/>
                  <w:tcBorders>
                    <w:top w:val="nil"/>
                    <w:left w:val="nil"/>
                    <w:bottom w:val="single" w:color="auto" w:sz="4" w:space="0"/>
                    <w:right w:val="single" w:color="auto" w:sz="4" w:space="0"/>
                  </w:tcBorders>
                  <w:vAlign w:val="center"/>
                </w:tcPr>
                <w:p w14:paraId="558CC4F6">
                  <w:pPr>
                    <w:pStyle w:val="24"/>
                    <w:bidi w:val="0"/>
                    <w:rPr>
                      <w:rFonts w:hint="eastAsia" w:eastAsia="宋体"/>
                      <w:lang w:val="en-US" w:eastAsia="zh-CN"/>
                    </w:rPr>
                  </w:pPr>
                  <w:r>
                    <w:rPr>
                      <w:rFonts w:hint="eastAsia"/>
                      <w:lang w:val="en-US" w:eastAsia="zh-CN"/>
                    </w:rPr>
                    <w:t>5</w:t>
                  </w:r>
                </w:p>
              </w:tc>
            </w:tr>
            <w:tr w14:paraId="439C5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91" w:type="dxa"/>
                  <w:gridSpan w:val="5"/>
                  <w:tcBorders>
                    <w:top w:val="single" w:color="auto" w:sz="4" w:space="0"/>
                    <w:left w:val="single" w:color="auto" w:sz="4" w:space="0"/>
                    <w:bottom w:val="single" w:color="auto" w:sz="4" w:space="0"/>
                    <w:right w:val="single" w:color="auto" w:sz="4" w:space="0"/>
                  </w:tcBorders>
                  <w:vAlign w:val="center"/>
                </w:tcPr>
                <w:p w14:paraId="4701E4C1">
                  <w:pPr>
                    <w:pStyle w:val="24"/>
                    <w:bidi w:val="0"/>
                  </w:pPr>
                  <w:r>
                    <w:t>合计</w:t>
                  </w:r>
                </w:p>
              </w:tc>
              <w:tc>
                <w:tcPr>
                  <w:tcW w:w="1065" w:type="dxa"/>
                  <w:tcBorders>
                    <w:top w:val="single" w:color="auto" w:sz="4" w:space="0"/>
                    <w:left w:val="nil"/>
                    <w:right w:val="single" w:color="auto" w:sz="4" w:space="0"/>
                  </w:tcBorders>
                  <w:vAlign w:val="center"/>
                </w:tcPr>
                <w:p w14:paraId="6416DE6D">
                  <w:pPr>
                    <w:pStyle w:val="24"/>
                    <w:bidi w:val="0"/>
                    <w:rPr>
                      <w:rFonts w:hint="default"/>
                      <w:lang w:val="en-US" w:eastAsia="zh-CN"/>
                    </w:rPr>
                  </w:pPr>
                  <w:r>
                    <w:rPr>
                      <w:rFonts w:hint="eastAsia"/>
                      <w:lang w:val="en-US" w:eastAsia="zh-CN"/>
                    </w:rPr>
                    <w:t>53</w:t>
                  </w:r>
                </w:p>
              </w:tc>
            </w:tr>
          </w:tbl>
          <w:p w14:paraId="2C00A4B9">
            <w:pPr>
              <w:keepNext w:val="0"/>
              <w:keepLines w:val="0"/>
              <w:widowControl/>
              <w:suppressLineNumbers w:val="0"/>
              <w:adjustRightInd w:val="0"/>
              <w:snapToGrid w:val="0"/>
              <w:spacing w:before="0" w:beforeAutospacing="0" w:after="200" w:afterAutospacing="0" w:line="360" w:lineRule="exact"/>
              <w:ind w:left="0" w:right="0"/>
              <w:jc w:val="left"/>
              <w:rPr>
                <w:rFonts w:hint="default" w:ascii="Tahoma" w:hAnsi="Tahoma" w:eastAsia="仿宋_GB2312" w:cs="Times New Roman"/>
                <w:color w:val="000000"/>
                <w:kern w:val="0"/>
                <w:sz w:val="24"/>
                <w:szCs w:val="24"/>
              </w:rPr>
            </w:pPr>
          </w:p>
        </w:tc>
      </w:tr>
    </w:tbl>
    <w:p w14:paraId="66B13EF0">
      <w:pPr>
        <w:pStyle w:val="2"/>
        <w:bidi w:val="0"/>
      </w:pPr>
      <w:r>
        <w:t>表</w:t>
      </w:r>
      <w:r>
        <w:rPr>
          <w:rFonts w:hint="eastAsia"/>
        </w:rPr>
        <w:t>四</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5AB2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5" w:hRule="atLeast"/>
          <w:jc w:val="center"/>
        </w:trPr>
        <w:tc>
          <w:tcPr>
            <w:tcW w:w="8924" w:type="dxa"/>
          </w:tcPr>
          <w:p w14:paraId="7F2BC652">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建设项目环境影响报告表主要结论及审批部门审批决定：</w:t>
            </w:r>
          </w:p>
          <w:p w14:paraId="37A09F8B">
            <w:pPr>
              <w:pStyle w:val="3"/>
              <w:suppressLineNumbers w:val="0"/>
              <w:bidi w:val="0"/>
              <w:spacing w:before="0" w:beforeAutospacing="0" w:after="0" w:afterAutospacing="0"/>
              <w:ind w:left="0" w:right="0"/>
              <w:rPr>
                <w:rFonts w:hint="default"/>
              </w:rPr>
            </w:pPr>
            <w:r>
              <w:rPr>
                <w:rFonts w:hint="eastAsia"/>
              </w:rPr>
              <w:t>4.1环境影响报告表主要结论</w:t>
            </w:r>
          </w:p>
          <w:p w14:paraId="6776BA2C">
            <w:pPr>
              <w:keepNext w:val="0"/>
              <w:keepLines w:val="0"/>
              <w:widowControl/>
              <w:suppressLineNumbers w:val="0"/>
              <w:adjustRightInd w:val="0"/>
              <w:snapToGrid w:val="0"/>
              <w:spacing w:before="48" w:beforeLines="20" w:beforeAutospacing="0" w:after="0" w:afterAutospacing="0" w:line="360" w:lineRule="auto"/>
              <w:ind w:left="0" w:right="0"/>
              <w:jc w:val="center"/>
              <w:rPr>
                <w:rFonts w:hint="default" w:cs="Times New Roman" w:asciiTheme="minorEastAsia" w:hAnsiTheme="minorEastAsia"/>
                <w:b/>
                <w:color w:val="000000"/>
                <w:kern w:val="0"/>
                <w:sz w:val="24"/>
                <w:szCs w:val="24"/>
              </w:rPr>
            </w:pPr>
            <w:r>
              <w:rPr>
                <w:rFonts w:hint="eastAsia" w:cs="Times New Roman" w:asciiTheme="minorEastAsia" w:hAnsiTheme="minorEastAsia"/>
                <w:b/>
                <w:color w:val="000000"/>
                <w:kern w:val="0"/>
                <w:sz w:val="24"/>
                <w:szCs w:val="24"/>
              </w:rPr>
              <w:t>表4-1 环境影响报告表主要结论一览表</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
              <w:gridCol w:w="1196"/>
              <w:gridCol w:w="6610"/>
            </w:tblGrid>
            <w:tr w14:paraId="450A4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0" w:type="auto"/>
                  <w:vAlign w:val="center"/>
                </w:tcPr>
                <w:p w14:paraId="570FC141">
                  <w:pPr>
                    <w:pStyle w:val="24"/>
                    <w:keepNext w:val="0"/>
                    <w:keepLines w:val="0"/>
                    <w:suppressLineNumbers w:val="0"/>
                    <w:bidi w:val="0"/>
                    <w:spacing w:before="0" w:beforeAutospacing="0" w:after="0" w:afterAutospacing="0"/>
                    <w:ind w:left="0" w:right="0"/>
                    <w:rPr>
                      <w:rFonts w:hint="default"/>
                    </w:rPr>
                  </w:pPr>
                  <w:r>
                    <w:rPr>
                      <w:rFonts w:hint="eastAsia"/>
                    </w:rPr>
                    <w:t>序号</w:t>
                  </w:r>
                </w:p>
              </w:tc>
              <w:tc>
                <w:tcPr>
                  <w:tcW w:w="1196" w:type="dxa"/>
                  <w:vAlign w:val="center"/>
                </w:tcPr>
                <w:p w14:paraId="2EC4EFC1">
                  <w:pPr>
                    <w:pStyle w:val="24"/>
                    <w:keepNext w:val="0"/>
                    <w:keepLines w:val="0"/>
                    <w:suppressLineNumbers w:val="0"/>
                    <w:bidi w:val="0"/>
                    <w:spacing w:before="0" w:beforeAutospacing="0" w:after="0" w:afterAutospacing="0"/>
                    <w:ind w:left="0" w:right="0"/>
                    <w:rPr>
                      <w:rFonts w:hint="default"/>
                    </w:rPr>
                  </w:pPr>
                  <w:r>
                    <w:rPr>
                      <w:rFonts w:hint="eastAsia"/>
                    </w:rPr>
                    <w:t>项目</w:t>
                  </w:r>
                </w:p>
              </w:tc>
              <w:tc>
                <w:tcPr>
                  <w:tcW w:w="6610" w:type="dxa"/>
                  <w:vAlign w:val="center"/>
                </w:tcPr>
                <w:p w14:paraId="2201DBEC">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center"/>
                    <w:textAlignment w:val="auto"/>
                    <w:rPr>
                      <w:rFonts w:hint="default"/>
                    </w:rPr>
                  </w:pPr>
                  <w:r>
                    <w:rPr>
                      <w:rFonts w:hint="eastAsia"/>
                    </w:rPr>
                    <w:t>具体情况</w:t>
                  </w:r>
                </w:p>
              </w:tc>
            </w:tr>
            <w:tr w14:paraId="01C45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0" w:type="auto"/>
                  <w:vAlign w:val="center"/>
                </w:tcPr>
                <w:p w14:paraId="7740BD7B">
                  <w:pPr>
                    <w:pStyle w:val="24"/>
                    <w:keepNext w:val="0"/>
                    <w:keepLines w:val="0"/>
                    <w:suppressLineNumbers w:val="0"/>
                    <w:bidi w:val="0"/>
                    <w:spacing w:before="0" w:beforeAutospacing="0" w:after="0" w:afterAutospacing="0"/>
                    <w:ind w:left="0" w:right="0"/>
                    <w:rPr>
                      <w:rFonts w:hint="eastAsia"/>
                      <w:lang w:val="en-US" w:eastAsia="zh-CN"/>
                    </w:rPr>
                  </w:pPr>
                  <w:r>
                    <w:rPr>
                      <w:rFonts w:hint="eastAsia"/>
                    </w:rPr>
                    <w:t>1</w:t>
                  </w:r>
                </w:p>
              </w:tc>
              <w:tc>
                <w:tcPr>
                  <w:tcW w:w="1196" w:type="dxa"/>
                  <w:vAlign w:val="center"/>
                </w:tcPr>
                <w:p w14:paraId="70FBF912">
                  <w:pPr>
                    <w:pStyle w:val="24"/>
                    <w:keepNext w:val="0"/>
                    <w:keepLines w:val="0"/>
                    <w:suppressLineNumbers w:val="0"/>
                    <w:bidi w:val="0"/>
                    <w:spacing w:before="0" w:beforeAutospacing="0" w:after="0" w:afterAutospacing="0"/>
                    <w:ind w:left="0" w:right="0"/>
                    <w:rPr>
                      <w:rFonts w:hint="eastAsia"/>
                    </w:rPr>
                  </w:pPr>
                  <w:r>
                    <w:rPr>
                      <w:rFonts w:hint="eastAsia"/>
                      <w:lang w:val="en-US" w:eastAsia="zh-CN"/>
                    </w:rPr>
                    <w:t>环境质量现状评价结论</w:t>
                  </w:r>
                </w:p>
              </w:tc>
              <w:tc>
                <w:tcPr>
                  <w:tcW w:w="6610" w:type="dxa"/>
                  <w:vAlign w:val="center"/>
                </w:tcPr>
                <w:p w14:paraId="586D1FC6">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lang w:val="en-US"/>
                    </w:rPr>
                  </w:pPr>
                  <w:r>
                    <w:rPr>
                      <w:rFonts w:hint="eastAsia"/>
                      <w:lang w:eastAsia="zh-CN"/>
                    </w:rPr>
                    <w:t>（</w:t>
                  </w:r>
                  <w:r>
                    <w:rPr>
                      <w:rFonts w:hint="default"/>
                      <w:lang w:val="en-US"/>
                    </w:rPr>
                    <w:t>1</w:t>
                  </w:r>
                  <w:r>
                    <w:rPr>
                      <w:rFonts w:hint="eastAsia"/>
                      <w:lang w:eastAsia="zh-CN"/>
                    </w:rPr>
                    <w:t>）地表水</w:t>
                  </w:r>
                </w:p>
                <w:p w14:paraId="0513B730">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lang w:val="en-US"/>
                    </w:rPr>
                  </w:pPr>
                  <w:r>
                    <w:rPr>
                      <w:rFonts w:hint="eastAsia"/>
                      <w:lang w:val="en-US" w:eastAsia="zh-CN"/>
                    </w:rPr>
                    <w:t>由引用的监测数据可知，</w:t>
                  </w:r>
                  <w:r>
                    <w:rPr>
                      <w:rFonts w:hint="default" w:ascii="Times New Roman" w:hAnsi="Times New Roman" w:cs="Times New Roman"/>
                    </w:rPr>
                    <w:t>谷桥大沟、大寨沟以及红砂桥大沟各监测断面水质监测因子均可满足《地表水环境质量标准》（GB3838-2002）中Ⅳ类标准限值要求，长江各断面水质监测因子均可满足《地表水环境质量标准》（GB3838-2002）中Ⅲ类标准限值要求。</w:t>
                  </w:r>
                </w:p>
                <w:p w14:paraId="15CCFBE6">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lang w:val="en-US"/>
                    </w:rPr>
                  </w:pPr>
                  <w:r>
                    <w:rPr>
                      <w:rFonts w:hint="eastAsia"/>
                      <w:lang w:eastAsia="zh-CN"/>
                    </w:rPr>
                    <w:t>（</w:t>
                  </w:r>
                  <w:r>
                    <w:rPr>
                      <w:rFonts w:hint="default"/>
                      <w:lang w:val="en-US"/>
                    </w:rPr>
                    <w:t>2</w:t>
                  </w:r>
                  <w:r>
                    <w:rPr>
                      <w:rFonts w:hint="eastAsia"/>
                      <w:lang w:eastAsia="zh-CN"/>
                    </w:rPr>
                    <w:t>）大气</w:t>
                  </w:r>
                </w:p>
                <w:p w14:paraId="4656E229">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lang w:val="en-US"/>
                    </w:rPr>
                  </w:pPr>
                  <w:r>
                    <w:rPr>
                      <w:rFonts w:hint="eastAsia"/>
                      <w:lang w:val="en-US" w:eastAsia="zh-CN"/>
                    </w:rPr>
                    <w:t>根据《</w:t>
                  </w:r>
                  <w:r>
                    <w:rPr>
                      <w:rFonts w:hint="default"/>
                      <w:lang w:val="en-US" w:eastAsia="zh-CN"/>
                    </w:rPr>
                    <w:t>20</w:t>
                  </w:r>
                  <w:r>
                    <w:rPr>
                      <w:rFonts w:hint="eastAsia"/>
                      <w:lang w:val="en-US" w:eastAsia="zh-CN"/>
                    </w:rPr>
                    <w:t>20年安庆市环境质量状况公报》相关数据得知，项目所在区域基准年（</w:t>
                  </w:r>
                  <w:r>
                    <w:rPr>
                      <w:rFonts w:hint="default"/>
                      <w:lang w:val="en-US" w:eastAsia="zh-CN"/>
                    </w:rPr>
                    <w:t>20</w:t>
                  </w:r>
                  <w:r>
                    <w:rPr>
                      <w:rFonts w:hint="eastAsia"/>
                      <w:lang w:val="en-US" w:eastAsia="zh-CN"/>
                    </w:rPr>
                    <w:t>20年）中</w:t>
                  </w:r>
                  <w:r>
                    <w:rPr>
                      <w:rFonts w:hint="default"/>
                      <w:lang w:val="en-US" w:eastAsia="zh-CN"/>
                    </w:rPr>
                    <w:t>O</w:t>
                  </w:r>
                  <w:r>
                    <w:rPr>
                      <w:rFonts w:hint="default"/>
                      <w:vertAlign w:val="subscript"/>
                      <w:lang w:val="en-US" w:eastAsia="zh-CN"/>
                    </w:rPr>
                    <w:t>3</w:t>
                  </w:r>
                  <w:r>
                    <w:rPr>
                      <w:rFonts w:hint="eastAsia"/>
                      <w:lang w:val="en-US" w:eastAsia="zh-CN"/>
                    </w:rPr>
                    <w:t>和</w:t>
                  </w:r>
                  <w:r>
                    <w:rPr>
                      <w:rFonts w:hint="default"/>
                      <w:lang w:val="en-US" w:eastAsia="zh-CN"/>
                    </w:rPr>
                    <w:t>PM</w:t>
                  </w:r>
                  <w:r>
                    <w:rPr>
                      <w:rFonts w:hint="default"/>
                      <w:vertAlign w:val="subscript"/>
                      <w:lang w:val="en-US" w:eastAsia="zh-CN"/>
                    </w:rPr>
                    <w:t>2.5</w:t>
                  </w:r>
                  <w:r>
                    <w:rPr>
                      <w:rFonts w:hint="eastAsia"/>
                      <w:lang w:val="en-US" w:eastAsia="zh-CN"/>
                    </w:rPr>
                    <w:t>年平均质量浓度不满足标准值要求，项目所在区域为不达标区。由引用的监测数据可知，各监测点的</w:t>
                  </w:r>
                  <w:r>
                    <w:rPr>
                      <w:rFonts w:hint="eastAsia" w:cs="Times New Roman"/>
                      <w:lang w:val="en-US" w:eastAsia="zh-CN"/>
                    </w:rPr>
                    <w:t>TSP</w:t>
                  </w:r>
                  <w:r>
                    <w:rPr>
                      <w:rFonts w:hint="eastAsia" w:ascii="Times New Roman" w:hAnsi="Times New Roman" w:cs="Times New Roman"/>
                      <w:lang w:val="en-US" w:eastAsia="zh-CN"/>
                    </w:rPr>
                    <w:t>、</w:t>
                  </w:r>
                  <w:r>
                    <w:rPr>
                      <w:rFonts w:hint="default" w:ascii="Times New Roman" w:hAnsi="Times New Roman" w:cs="Times New Roman"/>
                      <w:lang w:val="en-US" w:eastAsia="zh-CN"/>
                    </w:rPr>
                    <w:t>非甲烷总烃</w:t>
                  </w:r>
                  <w:r>
                    <w:rPr>
                      <w:rFonts w:hint="eastAsia"/>
                      <w:lang w:val="en-US" w:eastAsia="zh-CN"/>
                    </w:rPr>
                    <w:t>均未出现超标现象，满足《环境空气质量标准》(</w:t>
                  </w:r>
                  <w:r>
                    <w:rPr>
                      <w:rFonts w:hint="default"/>
                      <w:lang w:val="en-US" w:eastAsia="zh-CN"/>
                    </w:rPr>
                    <w:t>GB3095-2012</w:t>
                  </w:r>
                  <w:r>
                    <w:rPr>
                      <w:rFonts w:hint="eastAsia"/>
                      <w:lang w:val="en-US" w:eastAsia="zh-CN"/>
                    </w:rPr>
                    <w:t>)二级标准要求。</w:t>
                  </w:r>
                </w:p>
                <w:p w14:paraId="426417BE">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lang w:val="en-US"/>
                    </w:rPr>
                  </w:pPr>
                  <w:r>
                    <w:rPr>
                      <w:rFonts w:hint="eastAsia"/>
                      <w:lang w:eastAsia="zh-CN"/>
                    </w:rPr>
                    <w:t>（</w:t>
                  </w:r>
                  <w:r>
                    <w:rPr>
                      <w:rFonts w:hint="default"/>
                      <w:lang w:val="en-US"/>
                    </w:rPr>
                    <w:t>3</w:t>
                  </w:r>
                  <w:r>
                    <w:rPr>
                      <w:rFonts w:hint="eastAsia"/>
                      <w:lang w:eastAsia="zh-CN"/>
                    </w:rPr>
                    <w:t>）声</w:t>
                  </w:r>
                </w:p>
                <w:p w14:paraId="622D8C7E">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eastAsia"/>
                    </w:rPr>
                  </w:pPr>
                  <w:r>
                    <w:rPr>
                      <w:rFonts w:hint="eastAsia"/>
                      <w:lang w:val="en-US" w:eastAsia="zh-CN"/>
                    </w:rPr>
                    <w:t>监测结果可知，</w:t>
                  </w:r>
                  <w:r>
                    <w:rPr>
                      <w:rFonts w:hint="eastAsia"/>
                      <w:bCs/>
                      <w:color w:val="000000"/>
                    </w:rPr>
                    <w:t>企业东厂界昼间与夜间噪声监测结果未超过《工业企业厂界环境噪声排放标准》（GB12348-2008）中4类区标准限值。其余厂界昼间与夜间噪声监测结果均未超过《工业企业厂界环境噪声排放标准》（GB12348-2008）中2类区标准限值，区域声环境质量良好。</w:t>
                  </w:r>
                </w:p>
              </w:tc>
            </w:tr>
            <w:tr w14:paraId="10A87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 w:hRule="atLeast"/>
              </w:trPr>
              <w:tc>
                <w:tcPr>
                  <w:tcW w:w="0" w:type="auto"/>
                  <w:vAlign w:val="center"/>
                </w:tcPr>
                <w:p w14:paraId="3FC91F0E">
                  <w:pPr>
                    <w:pStyle w:val="24"/>
                    <w:keepNext w:val="0"/>
                    <w:keepLines w:val="0"/>
                    <w:suppressLineNumbers w:val="0"/>
                    <w:bidi w:val="0"/>
                    <w:spacing w:before="0" w:beforeAutospacing="0" w:after="0" w:afterAutospacing="0"/>
                    <w:ind w:left="0" w:right="0"/>
                    <w:rPr>
                      <w:rFonts w:hint="default"/>
                      <w:lang w:val="en-US" w:eastAsia="zh-CN"/>
                    </w:rPr>
                  </w:pPr>
                  <w:r>
                    <w:rPr>
                      <w:rFonts w:hint="eastAsia"/>
                    </w:rPr>
                    <w:t>2</w:t>
                  </w:r>
                </w:p>
              </w:tc>
              <w:tc>
                <w:tcPr>
                  <w:tcW w:w="1196" w:type="dxa"/>
                  <w:vAlign w:val="center"/>
                </w:tcPr>
                <w:p w14:paraId="04691BA1">
                  <w:pPr>
                    <w:pStyle w:val="24"/>
                    <w:keepNext w:val="0"/>
                    <w:keepLines w:val="0"/>
                    <w:suppressLineNumbers w:val="0"/>
                    <w:bidi w:val="0"/>
                    <w:spacing w:before="0" w:beforeAutospacing="0" w:after="0" w:afterAutospacing="0"/>
                    <w:ind w:left="0" w:right="0"/>
                    <w:rPr>
                      <w:rFonts w:hint="default"/>
                    </w:rPr>
                  </w:pPr>
                  <w:r>
                    <w:rPr>
                      <w:rFonts w:hint="eastAsia"/>
                      <w:lang w:val="en-US" w:eastAsia="zh-CN"/>
                    </w:rPr>
                    <w:t>大气环境影响分析</w:t>
                  </w:r>
                </w:p>
              </w:tc>
              <w:tc>
                <w:tcPr>
                  <w:tcW w:w="6610" w:type="dxa"/>
                  <w:vAlign w:val="center"/>
                </w:tcPr>
                <w:p w14:paraId="5000E7BD">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default" w:ascii="Times New Roman" w:hAnsi="Times New Roman" w:cs="Times New Roman"/>
                    </w:rPr>
                    <w:t>本项目位于安徽省安庆市大观区集贤北路173号现有厂区内，在落实各项污染防治措施后，项目</w:t>
                  </w:r>
                  <w:r>
                    <w:rPr>
                      <w:rFonts w:hint="eastAsia" w:cs="Times New Roman"/>
                      <w:lang w:eastAsia="zh-CN"/>
                    </w:rPr>
                    <w:t>排放的颗粒物和非甲烷总烃</w:t>
                  </w:r>
                  <w:r>
                    <w:rPr>
                      <w:rFonts w:hint="default" w:ascii="Times New Roman" w:hAnsi="Times New Roman" w:cs="Times New Roman"/>
                    </w:rPr>
                    <w:t>可满足《大气污染物综合排放标准》</w:t>
                  </w:r>
                  <w:r>
                    <w:rPr>
                      <w:rFonts w:hint="eastAsia"/>
                    </w:rPr>
                    <w:t>（GB16297-1996）</w:t>
                  </w:r>
                  <w:r>
                    <w:rPr>
                      <w:rFonts w:hint="default" w:ascii="Times New Roman" w:hAnsi="Times New Roman" w:cs="Times New Roman"/>
                    </w:rPr>
                    <w:t>要求，对周围环境影响不大</w:t>
                  </w:r>
                  <w:r>
                    <w:rPr>
                      <w:rFonts w:hint="eastAsia"/>
                      <w:lang w:val="en-US" w:eastAsia="zh-CN"/>
                    </w:rPr>
                    <w:t>。</w:t>
                  </w:r>
                </w:p>
              </w:tc>
            </w:tr>
            <w:tr w14:paraId="073AA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3" w:hRule="atLeast"/>
              </w:trPr>
              <w:tc>
                <w:tcPr>
                  <w:tcW w:w="0" w:type="auto"/>
                  <w:vAlign w:val="center"/>
                </w:tcPr>
                <w:p w14:paraId="5CB8A241">
                  <w:pPr>
                    <w:pStyle w:val="24"/>
                    <w:keepNext w:val="0"/>
                    <w:keepLines w:val="0"/>
                    <w:suppressLineNumbers w:val="0"/>
                    <w:bidi w:val="0"/>
                    <w:spacing w:before="0" w:beforeAutospacing="0" w:after="0" w:afterAutospacing="0"/>
                    <w:ind w:left="0" w:right="0"/>
                    <w:rPr>
                      <w:rFonts w:hint="default"/>
                      <w:lang w:val="en-US" w:eastAsia="zh-CN"/>
                    </w:rPr>
                  </w:pPr>
                  <w:r>
                    <w:rPr>
                      <w:rFonts w:hint="eastAsia"/>
                    </w:rPr>
                    <w:t>3</w:t>
                  </w:r>
                </w:p>
              </w:tc>
              <w:tc>
                <w:tcPr>
                  <w:tcW w:w="1196" w:type="dxa"/>
                  <w:vAlign w:val="center"/>
                </w:tcPr>
                <w:p w14:paraId="52FD0C75">
                  <w:pPr>
                    <w:pStyle w:val="24"/>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地表水环境影响</w:t>
                  </w:r>
                </w:p>
                <w:p w14:paraId="10ECC18A">
                  <w:pPr>
                    <w:pStyle w:val="24"/>
                    <w:keepNext w:val="0"/>
                    <w:keepLines w:val="0"/>
                    <w:suppressLineNumbers w:val="0"/>
                    <w:bidi w:val="0"/>
                    <w:spacing w:before="0" w:beforeAutospacing="0" w:after="0" w:afterAutospacing="0"/>
                    <w:ind w:left="0" w:right="0"/>
                    <w:rPr>
                      <w:rFonts w:hint="default"/>
                    </w:rPr>
                  </w:pPr>
                  <w:r>
                    <w:rPr>
                      <w:rFonts w:hint="eastAsia"/>
                      <w:lang w:val="en-US" w:eastAsia="zh-CN"/>
                    </w:rPr>
                    <w:t>分析</w:t>
                  </w:r>
                </w:p>
              </w:tc>
              <w:tc>
                <w:tcPr>
                  <w:tcW w:w="6610" w:type="dxa"/>
                  <w:vAlign w:val="center"/>
                </w:tcPr>
                <w:p w14:paraId="725A9CB9">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default"/>
                    </w:rPr>
                    <w:t>在严格落实雨污分流、清污分流以及废水管理的前提下，本项目对周围地表水环境无影响，不会改变周边水环境质量现状，不触及水环境质量底线。</w:t>
                  </w:r>
                </w:p>
              </w:tc>
            </w:tr>
            <w:tr w14:paraId="0B426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8" w:hRule="atLeast"/>
              </w:trPr>
              <w:tc>
                <w:tcPr>
                  <w:tcW w:w="0" w:type="auto"/>
                  <w:vAlign w:val="center"/>
                </w:tcPr>
                <w:p w14:paraId="0227BA4D">
                  <w:pPr>
                    <w:pStyle w:val="24"/>
                    <w:keepNext w:val="0"/>
                    <w:keepLines w:val="0"/>
                    <w:suppressLineNumbers w:val="0"/>
                    <w:bidi w:val="0"/>
                    <w:spacing w:before="0" w:beforeAutospacing="0" w:after="0" w:afterAutospacing="0"/>
                    <w:ind w:left="0" w:right="0"/>
                    <w:rPr>
                      <w:rFonts w:hint="default"/>
                      <w:lang w:val="en-US" w:eastAsia="zh-CN"/>
                    </w:rPr>
                  </w:pPr>
                  <w:r>
                    <w:rPr>
                      <w:rFonts w:hint="eastAsia"/>
                    </w:rPr>
                    <w:t>4</w:t>
                  </w:r>
                </w:p>
              </w:tc>
              <w:tc>
                <w:tcPr>
                  <w:tcW w:w="1196" w:type="dxa"/>
                  <w:vAlign w:val="center"/>
                </w:tcPr>
                <w:p w14:paraId="23C0D527">
                  <w:pPr>
                    <w:pStyle w:val="24"/>
                    <w:keepNext w:val="0"/>
                    <w:keepLines w:val="0"/>
                    <w:suppressLineNumbers w:val="0"/>
                    <w:bidi w:val="0"/>
                    <w:spacing w:before="0" w:beforeAutospacing="0" w:after="0" w:afterAutospacing="0"/>
                    <w:ind w:left="0" w:right="0"/>
                    <w:rPr>
                      <w:rFonts w:hint="default"/>
                    </w:rPr>
                  </w:pPr>
                  <w:r>
                    <w:rPr>
                      <w:rFonts w:hint="eastAsia"/>
                      <w:lang w:val="en-US" w:eastAsia="zh-CN"/>
                    </w:rPr>
                    <w:t>声环境影响分析</w:t>
                  </w:r>
                </w:p>
              </w:tc>
              <w:tc>
                <w:tcPr>
                  <w:tcW w:w="6610" w:type="dxa"/>
                  <w:vAlign w:val="center"/>
                </w:tcPr>
                <w:p w14:paraId="231721FF">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default"/>
                    </w:rPr>
                    <w:t>企业管理部门认真落实各项防治措施、严格管理，</w:t>
                  </w:r>
                  <w:r>
                    <w:rPr>
                      <w:rFonts w:hint="eastAsia"/>
                      <w:lang w:eastAsia="zh-CN"/>
                    </w:rPr>
                    <w:t>东</w:t>
                  </w:r>
                  <w:r>
                    <w:rPr>
                      <w:rFonts w:hint="default"/>
                    </w:rPr>
                    <w:t>厂界</w:t>
                  </w:r>
                  <w:r>
                    <w:rPr>
                      <w:rFonts w:hint="eastAsia"/>
                      <w:lang w:eastAsia="zh-CN"/>
                    </w:rPr>
                    <w:t>噪声</w:t>
                  </w:r>
                  <w:r>
                    <w:rPr>
                      <w:rFonts w:hint="default"/>
                    </w:rPr>
                    <w:t>满足《工业企业厂界环境噪声排放标准》（GB12348-2008）</w:t>
                  </w:r>
                  <w:r>
                    <w:rPr>
                      <w:rFonts w:hint="eastAsia"/>
                      <w:lang w:val="en-US" w:eastAsia="zh-CN"/>
                    </w:rPr>
                    <w:t>4</w:t>
                  </w:r>
                  <w:r>
                    <w:rPr>
                      <w:rFonts w:hint="default"/>
                    </w:rPr>
                    <w:t>类标准，</w:t>
                  </w:r>
                  <w:r>
                    <w:rPr>
                      <w:rFonts w:hint="eastAsia"/>
                      <w:lang w:eastAsia="zh-CN"/>
                    </w:rPr>
                    <w:t>其余厂界噪声满足</w:t>
                  </w:r>
                  <w:r>
                    <w:rPr>
                      <w:rFonts w:hint="eastAsia"/>
                      <w:lang w:val="en-US" w:eastAsia="zh-CN"/>
                    </w:rPr>
                    <w:t>2类标准</w:t>
                  </w:r>
                  <w:r>
                    <w:rPr>
                      <w:rFonts w:hint="default"/>
                    </w:rPr>
                    <w:t>。项目运营期噪声排放不会对周围声环境造成明显的影响。</w:t>
                  </w:r>
                </w:p>
              </w:tc>
            </w:tr>
            <w:tr w14:paraId="67D19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0" w:type="auto"/>
                  <w:vAlign w:val="center"/>
                </w:tcPr>
                <w:p w14:paraId="795215C3">
                  <w:pPr>
                    <w:pStyle w:val="24"/>
                    <w:keepNext w:val="0"/>
                    <w:keepLines w:val="0"/>
                    <w:suppressLineNumbers w:val="0"/>
                    <w:bidi w:val="0"/>
                    <w:spacing w:before="0" w:beforeAutospacing="0" w:after="0" w:afterAutospacing="0"/>
                    <w:ind w:left="0" w:right="0"/>
                    <w:rPr>
                      <w:rFonts w:hint="default"/>
                      <w:lang w:val="en-US" w:eastAsia="zh-CN"/>
                    </w:rPr>
                  </w:pPr>
                  <w:r>
                    <w:rPr>
                      <w:rFonts w:hint="eastAsia"/>
                    </w:rPr>
                    <w:t>5</w:t>
                  </w:r>
                </w:p>
              </w:tc>
              <w:tc>
                <w:tcPr>
                  <w:tcW w:w="1196" w:type="dxa"/>
                  <w:vAlign w:val="center"/>
                </w:tcPr>
                <w:p w14:paraId="7CEF7CA8">
                  <w:pPr>
                    <w:pStyle w:val="24"/>
                    <w:keepNext w:val="0"/>
                    <w:keepLines w:val="0"/>
                    <w:suppressLineNumbers w:val="0"/>
                    <w:bidi w:val="0"/>
                    <w:spacing w:before="0" w:beforeAutospacing="0" w:after="0" w:afterAutospacing="0"/>
                    <w:ind w:left="0" w:right="0"/>
                    <w:rPr>
                      <w:rFonts w:hint="default"/>
                    </w:rPr>
                  </w:pPr>
                  <w:r>
                    <w:rPr>
                      <w:rFonts w:hint="eastAsia"/>
                      <w:lang w:val="en-US" w:eastAsia="zh-CN"/>
                    </w:rPr>
                    <w:t>固体废物环境影响分析</w:t>
                  </w:r>
                </w:p>
              </w:tc>
              <w:tc>
                <w:tcPr>
                  <w:tcW w:w="6610" w:type="dxa"/>
                  <w:vAlign w:val="center"/>
                </w:tcPr>
                <w:p w14:paraId="40596781">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default"/>
                    </w:rPr>
                    <w:t>企业严格对固体废物进行分类收集，储存场所严格按照有关规定设计、建造，采取“四防”措施，以“减量化、资源化、无害化”为原则，在自身加强利用的基础上，并合理处置，本项目的固体废物不会对周围环境产生不利影响。</w:t>
                  </w:r>
                </w:p>
              </w:tc>
            </w:tr>
            <w:tr w14:paraId="6166B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4" w:hRule="atLeast"/>
              </w:trPr>
              <w:tc>
                <w:tcPr>
                  <w:tcW w:w="0" w:type="auto"/>
                  <w:vAlign w:val="center"/>
                </w:tcPr>
                <w:p w14:paraId="5CAC3048">
                  <w:pPr>
                    <w:pStyle w:val="24"/>
                    <w:keepNext w:val="0"/>
                    <w:keepLines w:val="0"/>
                    <w:suppressLineNumbers w:val="0"/>
                    <w:bidi w:val="0"/>
                    <w:spacing w:before="0" w:beforeAutospacing="0" w:after="0" w:afterAutospacing="0"/>
                    <w:ind w:left="0" w:right="0"/>
                    <w:rPr>
                      <w:rFonts w:hint="default"/>
                      <w:lang w:val="en-US" w:eastAsia="zh-CN"/>
                    </w:rPr>
                  </w:pPr>
                  <w:r>
                    <w:rPr>
                      <w:rFonts w:hint="eastAsia"/>
                    </w:rPr>
                    <w:t>6</w:t>
                  </w:r>
                </w:p>
              </w:tc>
              <w:tc>
                <w:tcPr>
                  <w:tcW w:w="1196" w:type="dxa"/>
                  <w:vAlign w:val="center"/>
                </w:tcPr>
                <w:p w14:paraId="26239BD2">
                  <w:pPr>
                    <w:pStyle w:val="24"/>
                    <w:keepNext w:val="0"/>
                    <w:keepLines w:val="0"/>
                    <w:suppressLineNumbers w:val="0"/>
                    <w:bidi w:val="0"/>
                    <w:spacing w:before="0" w:beforeAutospacing="0" w:after="0" w:afterAutospacing="0"/>
                    <w:ind w:left="0" w:right="0"/>
                    <w:rPr>
                      <w:rFonts w:hint="default"/>
                    </w:rPr>
                  </w:pPr>
                  <w:r>
                    <w:rPr>
                      <w:rFonts w:hint="eastAsia"/>
                      <w:lang w:val="en-US" w:eastAsia="zh-CN"/>
                    </w:rPr>
                    <w:t>环境风险影响分析</w:t>
                  </w:r>
                </w:p>
              </w:tc>
              <w:tc>
                <w:tcPr>
                  <w:tcW w:w="6610" w:type="dxa"/>
                  <w:vAlign w:val="center"/>
                </w:tcPr>
                <w:p w14:paraId="085F0628">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（1）根据风险导则，本项目不存在重大危险源。</w:t>
                  </w:r>
                </w:p>
                <w:p w14:paraId="3567ECEA">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（2）本项目事故风险的类别主要是液压油、切削液等泄漏状况下环境污染。</w:t>
                  </w:r>
                </w:p>
                <w:p w14:paraId="3B7EE35E">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（3）本项目的事故风险在相应的备用设备齐全以及风险防范措施落实到位的情况下，环境风险是可以接受的。建设单位已建立环境风险应急预案并备案。项目事故废水可依托厂区已设置的一座200m3的综合事故池。</w:t>
                  </w:r>
                </w:p>
                <w:p w14:paraId="477690CE">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（4）建设单位应加强对各项风险防范措施的定期维护和检修，加强应急演习训练，总结积累经验。</w:t>
                  </w:r>
                </w:p>
                <w:p w14:paraId="75641B2F">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综上所述，本项目落实环境风险防范措施和应急预案地基础上，其环境风险是可接受的。</w:t>
                  </w:r>
                </w:p>
              </w:tc>
            </w:tr>
            <w:tr w14:paraId="499A4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0" w:type="auto"/>
                  <w:vAlign w:val="center"/>
                </w:tcPr>
                <w:p w14:paraId="416ABA58">
                  <w:pPr>
                    <w:pStyle w:val="24"/>
                    <w:keepNext w:val="0"/>
                    <w:keepLines w:val="0"/>
                    <w:suppressLineNumbers w:val="0"/>
                    <w:bidi w:val="0"/>
                    <w:spacing w:before="0" w:beforeAutospacing="0" w:after="0" w:afterAutospacing="0"/>
                    <w:ind w:left="0" w:right="0"/>
                    <w:rPr>
                      <w:rFonts w:hint="default"/>
                      <w:lang w:val="en-US" w:eastAsia="zh-CN"/>
                    </w:rPr>
                  </w:pPr>
                  <w:r>
                    <w:rPr>
                      <w:rFonts w:hint="eastAsia"/>
                    </w:rPr>
                    <w:t>7</w:t>
                  </w:r>
                </w:p>
              </w:tc>
              <w:tc>
                <w:tcPr>
                  <w:tcW w:w="1196" w:type="dxa"/>
                  <w:vAlign w:val="center"/>
                </w:tcPr>
                <w:p w14:paraId="19A01FCC">
                  <w:pPr>
                    <w:pStyle w:val="24"/>
                    <w:keepNext w:val="0"/>
                    <w:keepLines w:val="0"/>
                    <w:suppressLineNumbers w:val="0"/>
                    <w:bidi w:val="0"/>
                    <w:spacing w:before="0" w:beforeAutospacing="0" w:after="0" w:afterAutospacing="0"/>
                    <w:ind w:left="0" w:right="0"/>
                    <w:rPr>
                      <w:rFonts w:hint="eastAsia"/>
                      <w:lang w:eastAsia="zh-CN"/>
                    </w:rPr>
                  </w:pPr>
                  <w:r>
                    <w:rPr>
                      <w:rFonts w:hint="eastAsia"/>
                      <w:lang w:eastAsia="zh-CN"/>
                    </w:rPr>
                    <w:t>总结论</w:t>
                  </w:r>
                </w:p>
              </w:tc>
              <w:tc>
                <w:tcPr>
                  <w:tcW w:w="6610" w:type="dxa"/>
                  <w:vAlign w:val="center"/>
                </w:tcPr>
                <w:p w14:paraId="397DF5C1">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安庆帝伯格茨活塞环有限公司端面密封件生产线提升与智能化改造项目选址不涉及生态红线、实施后能维持区域环境质量现状，不会突破当地环境质量底线，此外，本项目各项能资源均有合理来源，不会触及当地资源利用上线，并且项目的建设符合生态环境准入清单，符合《关于以改善环境质量为核心加强环境影响评价管理的通知》（环环评〔2016〕150号）的文件要求。项目符合国家产业政策要求，在采用相应污染防治措施的前提下，各项污染物可以做到达标排放，排放的主要污染物可以满足总量控制指标要求，不会降低区域环境质量的原有功能级别。在采取相应环境风险防范措施后，环境风险可接受。</w:t>
                  </w:r>
                </w:p>
                <w:p w14:paraId="318398FB">
                  <w:pPr>
                    <w:pStyle w:val="24"/>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评价认为，项目在建设和生产运行过程中，在严格执行“三同时”制度、落实环评报告中提出的各项污染防治措施的前提下，从环境影响角度，项目建设是可行的。</w:t>
                  </w:r>
                </w:p>
              </w:tc>
            </w:tr>
          </w:tbl>
          <w:p w14:paraId="6B4E121E">
            <w:pPr>
              <w:pStyle w:val="3"/>
              <w:suppressLineNumbers w:val="0"/>
              <w:bidi w:val="0"/>
              <w:spacing w:before="0" w:beforeAutospacing="0" w:after="0" w:afterAutospacing="0"/>
              <w:ind w:left="0" w:right="0"/>
              <w:rPr>
                <w:rFonts w:hint="default"/>
              </w:rPr>
            </w:pPr>
            <w:r>
              <w:rPr>
                <w:rFonts w:hint="eastAsia"/>
              </w:rPr>
              <w:t>4.2环境保护行政主管部门的批复意见</w:t>
            </w:r>
          </w:p>
          <w:p w14:paraId="36C23F35">
            <w:pPr>
              <w:keepNext w:val="0"/>
              <w:keepLines w:val="0"/>
              <w:suppressLineNumbers w:val="0"/>
              <w:bidi w:val="0"/>
              <w:spacing w:before="0" w:beforeAutospacing="0" w:after="0" w:afterAutospacing="0"/>
              <w:ind w:left="0" w:right="0"/>
              <w:rPr>
                <w:rFonts w:hint="eastAsia"/>
                <w:lang w:val="en-US" w:eastAsia="zh-CN"/>
              </w:rPr>
            </w:pPr>
            <w:r>
              <w:rPr>
                <w:rFonts w:hint="eastAsia" w:cs="Times New Roman" w:asciiTheme="minorEastAsia" w:hAnsiTheme="minorEastAsia"/>
                <w:color w:val="000000"/>
                <w:kern w:val="0"/>
                <w:szCs w:val="24"/>
                <w:lang w:val="en-US" w:eastAsia="zh-CN"/>
              </w:rPr>
              <w:t>一、原则同意《报告表》的评价结论与建议。按照安庆市生态环境局《安庆市建设项目环评告知承诺制审批改革实施方案(2021版)》(宜环函(2021)22号)精神,本项目实施告知承诺制审批。项目位于安徽省安庆市大观区集贤北路173号，对原有生产线进行效率提升与智能化改造，引进自动梯面磨床设备，背面珩磨和外圆抛光设备，同时增加自动车床、自动外观检查机、自动包装机、智能仓储系统等智能化设备，实现端面密封件生产线效率提升与智能化改造。项目建设后，年新增端面密封件196万片。项目总投资2000万元，环保投资53万元。该项目建设符合国家相关产业政策，已通过大观区经济和信息化局备案(项目代码:2203-340803-07-02-136880)。在落实《报告表&gt;和本意见提出的污染防治措施和环境管理要求的前提下，我局原</w:t>
            </w:r>
            <w:r>
              <w:rPr>
                <w:rFonts w:hint="eastAsia"/>
                <w:lang w:val="en-US" w:eastAsia="zh-CN"/>
              </w:rPr>
              <w:t>则同意你公司按照《报告表》所列建设项目的性质、规模、地点、工艺、环境保护措施建设该项目。</w:t>
            </w:r>
          </w:p>
          <w:p w14:paraId="006205A5">
            <w:pPr>
              <w:keepNext w:val="0"/>
              <w:keepLines w:val="0"/>
              <w:suppressLineNumbers w:val="0"/>
              <w:bidi w:val="0"/>
              <w:spacing w:before="0" w:beforeAutospacing="0" w:after="0" w:afterAutospacing="0"/>
              <w:ind w:left="0" w:right="0"/>
              <w:rPr>
                <w:rFonts w:hint="default" w:ascii="Tahoma" w:hAnsi="Tahoma" w:eastAsia="仿宋_GB2312" w:cs="Times New Roman"/>
                <w:color w:val="000000"/>
                <w:kern w:val="0"/>
                <w:szCs w:val="24"/>
              </w:rPr>
            </w:pPr>
            <w:r>
              <w:rPr>
                <w:rFonts w:hint="eastAsia"/>
                <w:lang w:val="en-US" w:eastAsia="zh-CN"/>
              </w:rPr>
              <w:t>二、你公司应严格执行环保"三同时"制度，按照《报告表》要求，落实各项污染防治措施，确保各种污染物达标排放。雨</w:t>
            </w:r>
            <w:r>
              <w:rPr>
                <w:rFonts w:hint="eastAsia" w:cs="Times New Roman" w:asciiTheme="minorEastAsia" w:hAnsiTheme="minorEastAsia"/>
                <w:color w:val="000000"/>
                <w:kern w:val="0"/>
                <w:szCs w:val="24"/>
                <w:lang w:val="en-US" w:eastAsia="zh-CN"/>
              </w:rPr>
              <w:t>污分流，废水排放执行安庆市城东污水处理厂接管标准，废水排污口需按规范设置;废气排放执行</w:t>
            </w:r>
            <w:r>
              <w:rPr>
                <w:rFonts w:hint="eastAsia"/>
                <w:lang w:val="en-US" w:eastAsia="zh-CN"/>
              </w:rPr>
              <w:t>《</w:t>
            </w:r>
            <w:r>
              <w:rPr>
                <w:rFonts w:hint="eastAsia" w:cs="Times New Roman" w:asciiTheme="minorEastAsia" w:hAnsiTheme="minorEastAsia"/>
                <w:color w:val="000000"/>
                <w:kern w:val="0"/>
                <w:szCs w:val="24"/>
                <w:lang w:val="en-US" w:eastAsia="zh-CN"/>
              </w:rPr>
              <w:t>大气污染物综合排放标准</w:t>
            </w:r>
            <w:r>
              <w:rPr>
                <w:rFonts w:hint="eastAsia"/>
                <w:lang w:val="en-US" w:eastAsia="zh-CN"/>
              </w:rPr>
              <w:t>》</w:t>
            </w:r>
            <w:r>
              <w:rPr>
                <w:rFonts w:hint="eastAsia" w:cs="Times New Roman" w:asciiTheme="minorEastAsia" w:hAnsiTheme="minorEastAsia"/>
                <w:color w:val="000000"/>
                <w:kern w:val="0"/>
                <w:szCs w:val="24"/>
                <w:lang w:val="en-US" w:eastAsia="zh-CN"/>
              </w:rPr>
              <w:t>(GB16297-1996)、</w:t>
            </w:r>
            <w:r>
              <w:rPr>
                <w:rFonts w:hint="eastAsia"/>
                <w:lang w:val="en-US" w:eastAsia="zh-CN"/>
              </w:rPr>
              <w:t>《</w:t>
            </w:r>
            <w:r>
              <w:rPr>
                <w:rFonts w:hint="eastAsia" w:cs="Times New Roman" w:asciiTheme="minorEastAsia" w:hAnsiTheme="minorEastAsia"/>
                <w:color w:val="000000"/>
                <w:kern w:val="0"/>
                <w:szCs w:val="24"/>
                <w:lang w:val="en-US" w:eastAsia="zh-CN"/>
              </w:rPr>
              <w:t>挥发性有机物无组织排放控制标准</w:t>
            </w:r>
            <w:r>
              <w:rPr>
                <w:rFonts w:hint="eastAsia"/>
                <w:lang w:val="en-US" w:eastAsia="zh-CN"/>
              </w:rPr>
              <w:t>》</w:t>
            </w:r>
            <w:r>
              <w:rPr>
                <w:rFonts w:hint="eastAsia" w:cs="Times New Roman" w:asciiTheme="minorEastAsia" w:hAnsiTheme="minorEastAsia"/>
                <w:color w:val="000000"/>
                <w:kern w:val="0"/>
                <w:szCs w:val="24"/>
                <w:lang w:val="en-US" w:eastAsia="zh-CN"/>
              </w:rPr>
              <w:t>(GB37822-2019)相关要求；各产噪设备应合理布局，采取有效的隔声、消音、降噪等措施，加强生产设备维护保养，确保东侧厂界噪声达到《工业企业厂界环境噪声排放标准》(GB12348-2008)4类标准要求，其余三侧厂界噪声达到2类标准要求；一般固废严格执行《一般工业固体废物贮存和填埋污染控制标准》(GB18599-2020)要求，危险废物收集后委托有资质单位处置，危险废物暂存场所建设应严格按照《危险废物贮存污染控制标准》(GB18597-2001)要求。</w:t>
            </w:r>
          </w:p>
          <w:p w14:paraId="0A1E19CB">
            <w:pPr>
              <w:keepNext w:val="0"/>
              <w:keepLines w:val="0"/>
              <w:suppressLineNumbers w:val="0"/>
              <w:bidi w:val="0"/>
              <w:spacing w:before="0" w:beforeAutospacing="0" w:after="0" w:afterAutospacing="0"/>
              <w:ind w:left="0" w:right="0"/>
              <w:rPr>
                <w:rFonts w:hint="default"/>
              </w:rPr>
            </w:pPr>
            <w:r>
              <w:rPr>
                <w:rFonts w:hint="default"/>
              </w:rPr>
              <w:t>三、在项目施工和运营过程中，你公司应按</w:t>
            </w:r>
            <w:r>
              <w:rPr>
                <w:rFonts w:hint="eastAsia"/>
                <w:lang w:eastAsia="zh-CN"/>
              </w:rPr>
              <w:t>《</w:t>
            </w:r>
            <w:r>
              <w:rPr>
                <w:rFonts w:hint="default"/>
              </w:rPr>
              <w:t>建设项目环境影响评价信息公开机制方案</w:t>
            </w:r>
            <w:r>
              <w:rPr>
                <w:rFonts w:hint="eastAsia"/>
                <w:lang w:eastAsia="zh-CN"/>
              </w:rPr>
              <w:t>》</w:t>
            </w:r>
            <w:r>
              <w:rPr>
                <w:rFonts w:hint="default"/>
              </w:rPr>
              <w:t>和</w:t>
            </w:r>
            <w:r>
              <w:rPr>
                <w:rFonts w:hint="eastAsia"/>
                <w:lang w:eastAsia="zh-CN"/>
              </w:rPr>
              <w:t>《</w:t>
            </w:r>
            <w:r>
              <w:rPr>
                <w:rFonts w:hint="default"/>
              </w:rPr>
              <w:t>建设项目环境保护事中事后监督管理办法</w:t>
            </w:r>
            <w:r>
              <w:rPr>
                <w:rFonts w:hint="eastAsia"/>
                <w:lang w:eastAsia="zh-CN"/>
              </w:rPr>
              <w:t>》</w:t>
            </w:r>
            <w:r>
              <w:rPr>
                <w:rFonts w:hint="default"/>
              </w:rPr>
              <w:t>落实相关要求，建立畅通的公众参与平台，及时公布相关环境信息，保障公众对建设项目环境影响的知情权、参与权和监督权，切实维护人民群众合法环境权益。</w:t>
            </w:r>
          </w:p>
          <w:p w14:paraId="2C80216A">
            <w:pPr>
              <w:keepNext w:val="0"/>
              <w:keepLines w:val="0"/>
              <w:suppressLineNumbers w:val="0"/>
              <w:bidi w:val="0"/>
              <w:spacing w:before="0" w:beforeAutospacing="0" w:after="0" w:afterAutospacing="0"/>
              <w:ind w:left="0" w:right="0"/>
              <w:rPr>
                <w:rFonts w:hint="default"/>
              </w:rPr>
            </w:pPr>
            <w:r>
              <w:rPr>
                <w:rFonts w:hint="default"/>
              </w:rPr>
              <w:t>四、落实自行监测工作和排污许可制度。按照</w:t>
            </w:r>
            <w:r>
              <w:rPr>
                <w:rFonts w:hint="eastAsia"/>
                <w:lang w:eastAsia="zh-CN"/>
              </w:rPr>
              <w:t>《</w:t>
            </w:r>
            <w:r>
              <w:rPr>
                <w:rFonts w:hint="default"/>
              </w:rPr>
              <w:t>排污单位自行监测技术指南</w:t>
            </w:r>
            <w:r>
              <w:rPr>
                <w:rFonts w:hint="eastAsia"/>
                <w:lang w:eastAsia="zh-CN"/>
              </w:rPr>
              <w:t>》</w:t>
            </w:r>
            <w:r>
              <w:rPr>
                <w:rFonts w:hint="default"/>
              </w:rPr>
              <w:t>相关要求，你公司应严格落实自行监测工作，保证监测质量,做好监测数据记录与保存工作;同时按照</w:t>
            </w:r>
            <w:r>
              <w:rPr>
                <w:rFonts w:hint="eastAsia"/>
                <w:lang w:eastAsia="zh-CN"/>
              </w:rPr>
              <w:t>《</w:t>
            </w:r>
            <w:r>
              <w:rPr>
                <w:rFonts w:hint="default"/>
              </w:rPr>
              <w:t>排污许可管理办法</w:t>
            </w:r>
            <w:r>
              <w:rPr>
                <w:rFonts w:hint="eastAsia"/>
                <w:lang w:eastAsia="zh-CN"/>
              </w:rPr>
              <w:t>（</w:t>
            </w:r>
            <w:r>
              <w:rPr>
                <w:rFonts w:hint="default"/>
              </w:rPr>
              <w:t>试行</w:t>
            </w:r>
            <w:r>
              <w:rPr>
                <w:rFonts w:hint="eastAsia"/>
                <w:lang w:eastAsia="zh-CN"/>
              </w:rPr>
              <w:t>）》</w:t>
            </w:r>
            <w:r>
              <w:rPr>
                <w:rFonts w:hint="default"/>
              </w:rPr>
              <w:t>，适时开展排污许可发证登记申报工作。</w:t>
            </w:r>
          </w:p>
          <w:p w14:paraId="78A04285">
            <w:pPr>
              <w:keepNext w:val="0"/>
              <w:keepLines w:val="0"/>
              <w:suppressLineNumbers w:val="0"/>
              <w:bidi w:val="0"/>
              <w:spacing w:before="0" w:beforeAutospacing="0" w:after="0" w:afterAutospacing="0"/>
              <w:ind w:left="0" w:right="0"/>
              <w:rPr>
                <w:rFonts w:hint="default"/>
              </w:rPr>
            </w:pPr>
            <w:r>
              <w:rPr>
                <w:rFonts w:hint="default"/>
              </w:rPr>
              <w:t>五、项目环评报告表承诺制审批意见基于你公司提供的</w:t>
            </w:r>
            <w:r>
              <w:rPr>
                <w:rFonts w:hint="eastAsia"/>
                <w:lang w:eastAsia="zh-CN"/>
              </w:rPr>
              <w:t>《</w:t>
            </w:r>
            <w:r>
              <w:rPr>
                <w:rFonts w:hint="default"/>
              </w:rPr>
              <w:t>报告表</w:t>
            </w:r>
            <w:r>
              <w:rPr>
                <w:rFonts w:hint="eastAsia"/>
                <w:lang w:eastAsia="zh-CN"/>
              </w:rPr>
              <w:t>》</w:t>
            </w:r>
            <w:r>
              <w:rPr>
                <w:rFonts w:hint="default"/>
              </w:rPr>
              <w:t>所述内容和结论及</w:t>
            </w:r>
            <w:r>
              <w:rPr>
                <w:rFonts w:hint="eastAsia"/>
                <w:lang w:eastAsia="zh-CN"/>
              </w:rPr>
              <w:t>《</w:t>
            </w:r>
            <w:r>
              <w:rPr>
                <w:rFonts w:hint="default"/>
              </w:rPr>
              <w:t>安庆市建设项目环境影响评价文件报批承诺书</w:t>
            </w:r>
            <w:r>
              <w:rPr>
                <w:rFonts w:hint="eastAsia"/>
                <w:lang w:eastAsia="zh-CN"/>
              </w:rPr>
              <w:t>》</w:t>
            </w:r>
            <w:r>
              <w:rPr>
                <w:rFonts w:hint="default"/>
              </w:rPr>
              <w:t>，后期建设内容若超出</w:t>
            </w:r>
            <w:r>
              <w:rPr>
                <w:rFonts w:hint="eastAsia"/>
                <w:lang w:eastAsia="zh-CN"/>
              </w:rPr>
              <w:t>《</w:t>
            </w:r>
            <w:r>
              <w:rPr>
                <w:rFonts w:hint="default"/>
              </w:rPr>
              <w:t>安庆市建设项目环评告知承诺制审批改革实施方案(2021版)</w:t>
            </w:r>
            <w:r>
              <w:rPr>
                <w:rFonts w:hint="eastAsia"/>
                <w:lang w:eastAsia="zh-CN"/>
              </w:rPr>
              <w:t>》</w:t>
            </w:r>
            <w:r>
              <w:rPr>
                <w:rFonts w:hint="default"/>
              </w:rPr>
              <w:t>所述情形，应重新按一般环评审批流程履行相应环评手续，待审批同意后方可开工建设。对发现建设单位、环评编制单位弄虚作假或不落实承诺内容的，我局将依法撤销许可决定，并对相关责任人和单位予以查处。</w:t>
            </w:r>
          </w:p>
          <w:p w14:paraId="69D110ED">
            <w:pPr>
              <w:keepNext w:val="0"/>
              <w:keepLines w:val="0"/>
              <w:suppressLineNumbers w:val="0"/>
              <w:bidi w:val="0"/>
              <w:spacing w:before="0" w:beforeAutospacing="0" w:after="0" w:afterAutospacing="0"/>
              <w:ind w:left="0" w:right="0"/>
              <w:rPr>
                <w:rFonts w:hint="default"/>
              </w:rPr>
            </w:pPr>
            <w:r>
              <w:rPr>
                <w:rFonts w:hint="default"/>
              </w:rPr>
              <w:t>六、本项目各项污染物排放量不得高于</w:t>
            </w:r>
            <w:r>
              <w:rPr>
                <w:rFonts w:hint="eastAsia"/>
                <w:lang w:eastAsia="zh-CN"/>
              </w:rPr>
              <w:t>《</w:t>
            </w:r>
            <w:r>
              <w:rPr>
                <w:rFonts w:hint="default"/>
              </w:rPr>
              <w:t>报告表</w:t>
            </w:r>
            <w:r>
              <w:rPr>
                <w:rFonts w:hint="eastAsia"/>
                <w:lang w:eastAsia="zh-CN"/>
              </w:rPr>
              <w:t>》</w:t>
            </w:r>
            <w:r>
              <w:rPr>
                <w:rFonts w:hint="default"/>
              </w:rPr>
              <w:t>中承诺量。</w:t>
            </w:r>
          </w:p>
        </w:tc>
      </w:tr>
    </w:tbl>
    <w:p w14:paraId="2A52DB69">
      <w:pPr>
        <w:widowControl/>
        <w:adjustRightInd w:val="0"/>
        <w:snapToGrid w:val="0"/>
        <w:spacing w:after="200" w:line="360" w:lineRule="auto"/>
        <w:jc w:val="left"/>
        <w:rPr>
          <w:rFonts w:ascii="Tahoma" w:hAnsi="Tahoma" w:eastAsia="仿宋_GB2312" w:cs="Times New Roman"/>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cols w:space="720" w:num="1"/>
          <w:docGrid w:linePitch="360" w:charSpace="0"/>
        </w:sectPr>
      </w:pPr>
    </w:p>
    <w:p w14:paraId="54E6D8C2">
      <w:pPr>
        <w:pStyle w:val="2"/>
        <w:bidi w:val="0"/>
      </w:pPr>
      <w:r>
        <w:t>表</w:t>
      </w:r>
      <w:r>
        <w:rPr>
          <w:rFonts w:hint="eastAsia"/>
        </w:rPr>
        <w:t>五</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7CB4C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88" w:hRule="atLeast"/>
          <w:jc w:val="center"/>
        </w:trPr>
        <w:tc>
          <w:tcPr>
            <w:tcW w:w="8924" w:type="dxa"/>
            <w:vAlign w:val="top"/>
          </w:tcPr>
          <w:p w14:paraId="02B45D94">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b/>
                <w:color w:val="000000"/>
                <w:kern w:val="0"/>
                <w:sz w:val="24"/>
                <w:szCs w:val="24"/>
              </w:rPr>
            </w:pPr>
            <w:r>
              <w:rPr>
                <w:rFonts w:hint="eastAsia" w:ascii="宋体" w:hAnsi="宋体" w:eastAsia="宋体" w:cs="Times New Roman"/>
                <w:b/>
                <w:color w:val="000000"/>
                <w:kern w:val="0"/>
                <w:sz w:val="24"/>
                <w:szCs w:val="24"/>
              </w:rPr>
              <w:t>验收监测质量保证及质量控制：</w:t>
            </w:r>
          </w:p>
          <w:p w14:paraId="5A75A633">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仿宋_GB2312" w:cs="Times New Roman"/>
                <w:color w:val="000000"/>
                <w:sz w:val="24"/>
                <w:szCs w:val="24"/>
              </w:rPr>
            </w:pPr>
            <w:r>
              <w:rPr>
                <w:rFonts w:hint="eastAsia" w:asciiTheme="minorEastAsia" w:hAnsiTheme="minorEastAsia"/>
                <w:color w:val="000000" w:themeColor="text1"/>
                <w:sz w:val="24"/>
                <w:szCs w:val="32"/>
                <w14:textFill>
                  <w14:solidFill>
                    <w14:schemeClr w14:val="tx1"/>
                  </w14:solidFill>
                </w14:textFill>
              </w:rPr>
              <w:t>本次验收委托了</w:t>
            </w:r>
            <w:r>
              <w:rPr>
                <w:rFonts w:hint="eastAsia" w:ascii="Times New Roman" w:hAnsi="Times New Roman" w:eastAsia="宋体"/>
                <w:color w:val="000000" w:themeColor="text1"/>
                <w:sz w:val="24"/>
                <w:szCs w:val="32"/>
                <w:lang w:val="en-US" w:eastAsia="zh-CN"/>
                <w14:textFill>
                  <w14:solidFill>
                    <w14:schemeClr w14:val="tx1"/>
                  </w14:solidFill>
                </w14:textFill>
              </w:rPr>
              <w:t>安徽中检安环检测技术有限公</w:t>
            </w:r>
            <w:r>
              <w:rPr>
                <w:rFonts w:hint="eastAsia" w:ascii="Times New Roman" w:hAnsi="Times New Roman" w:eastAsia="宋体"/>
                <w:color w:val="000000" w:themeColor="text1"/>
                <w:sz w:val="24"/>
                <w:szCs w:val="32"/>
                <w:highlight w:val="none"/>
                <w:lang w:val="en-US" w:eastAsia="zh-CN"/>
                <w14:textFill>
                  <w14:solidFill>
                    <w14:schemeClr w14:val="tx1"/>
                  </w14:solidFill>
                </w14:textFill>
              </w:rPr>
              <w:t>司</w:t>
            </w:r>
            <w:r>
              <w:rPr>
                <w:rFonts w:hint="eastAsia" w:asciiTheme="minorEastAsia" w:hAnsiTheme="minorEastAsia"/>
                <w:color w:val="000000" w:themeColor="text1"/>
                <w:sz w:val="24"/>
                <w:szCs w:val="32"/>
                <w:highlight w:val="none"/>
                <w14:textFill>
                  <w14:solidFill>
                    <w14:schemeClr w14:val="tx1"/>
                  </w14:solidFill>
                </w14:textFill>
              </w:rPr>
              <w:t>（CMA:</w:t>
            </w:r>
            <w:r>
              <w:rPr>
                <w:rFonts w:hint="default"/>
                <w:highlight w:val="none"/>
              </w:rPr>
              <w:t xml:space="preserve"> </w:t>
            </w:r>
            <w:r>
              <w:rPr>
                <w:rFonts w:hint="eastAsia" w:asciiTheme="minorEastAsia" w:hAnsiTheme="minorEastAsia"/>
                <w:color w:val="000000" w:themeColor="text1"/>
                <w:sz w:val="24"/>
                <w:szCs w:val="32"/>
                <w:highlight w:val="none"/>
                <w:lang w:val="en-US" w:eastAsia="zh-CN"/>
                <w14:textFill>
                  <w14:solidFill>
                    <w14:schemeClr w14:val="tx1"/>
                  </w14:solidFill>
                </w14:textFill>
              </w:rPr>
              <w:t>251212053027</w:t>
            </w:r>
            <w:r>
              <w:rPr>
                <w:rFonts w:hint="eastAsia" w:asciiTheme="minorEastAsia" w:hAnsiTheme="minorEastAsia"/>
                <w:color w:val="000000" w:themeColor="text1"/>
                <w:sz w:val="24"/>
                <w:szCs w:val="32"/>
                <w:highlight w:val="none"/>
                <w14:textFill>
                  <w14:solidFill>
                    <w14:schemeClr w14:val="tx1"/>
                  </w14:solidFill>
                </w14:textFill>
              </w:rPr>
              <w:t>）</w:t>
            </w:r>
            <w:r>
              <w:rPr>
                <w:rFonts w:hint="eastAsia" w:ascii="Times New Roman" w:hAnsi="Times New Roman" w:eastAsia="宋体"/>
                <w:color w:val="000000" w:themeColor="text1"/>
                <w:sz w:val="24"/>
                <w:szCs w:val="32"/>
                <w:highlight w:val="none"/>
                <w14:textFill>
                  <w14:solidFill>
                    <w14:schemeClr w14:val="tx1"/>
                  </w14:solidFill>
                </w14:textFill>
              </w:rPr>
              <w:t>进</w:t>
            </w:r>
            <w:r>
              <w:rPr>
                <w:rFonts w:hint="eastAsia" w:ascii="Times New Roman" w:hAnsi="Times New Roman" w:eastAsia="宋体"/>
                <w:color w:val="000000" w:themeColor="text1"/>
                <w:sz w:val="24"/>
                <w:szCs w:val="32"/>
                <w14:textFill>
                  <w14:solidFill>
                    <w14:schemeClr w14:val="tx1"/>
                  </w14:solidFill>
                </w14:textFill>
              </w:rPr>
              <w:t>行监测，</w:t>
            </w:r>
            <w:r>
              <w:rPr>
                <w:rFonts w:hint="eastAsia" w:asciiTheme="minorEastAsia" w:hAnsiTheme="minorEastAsia"/>
                <w:color w:val="000000" w:themeColor="text1"/>
                <w:sz w:val="24"/>
                <w:szCs w:val="32"/>
                <w14:textFill>
                  <w14:solidFill>
                    <w14:schemeClr w14:val="tx1"/>
                  </w14:solidFill>
                </w14:textFill>
              </w:rPr>
              <w:t>验收监测期间，企业正常生产，污染治理设施运转正常，符合验收监测条件；监测点位布设合理，保证各监测点位布设的科学性和可比性；监测数据严格执行三级审核制度，经过校对、质量负责人校核，最后由技术负责人审定。</w:t>
            </w:r>
          </w:p>
          <w:p w14:paraId="6C187CB7">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5.1监测分析方法</w:t>
            </w:r>
          </w:p>
          <w:p w14:paraId="4142D53F">
            <w:pPr>
              <w:keepNext w:val="0"/>
              <w:keepLines w:val="0"/>
              <w:suppressLineNumbers w:val="0"/>
              <w:spacing w:before="0" w:beforeAutospacing="0" w:after="0" w:afterAutospacing="0" w:line="360" w:lineRule="auto"/>
              <w:ind w:left="0" w:right="0" w:firstLine="480" w:firstLineChars="200"/>
              <w:rPr>
                <w:rFonts w:hint="eastAsia" w:cs="Times New Roman" w:asciiTheme="minorEastAsia" w:hAnsiTheme="minorEastAsia" w:eastAsiaTheme="minorEastAsia"/>
                <w:color w:val="000000" w:themeColor="text1"/>
                <w:sz w:val="24"/>
                <w:szCs w:val="32"/>
                <w:lang w:eastAsia="zh-CN"/>
                <w14:textFill>
                  <w14:solidFill>
                    <w14:schemeClr w14:val="tx1"/>
                  </w14:solidFill>
                </w14:textFill>
              </w:rPr>
            </w:pPr>
            <w:r>
              <w:rPr>
                <w:rFonts w:hint="eastAsia" w:cs="Times New Roman" w:asciiTheme="minorEastAsia" w:hAnsiTheme="minorEastAsia"/>
                <w:color w:val="000000" w:themeColor="text1"/>
                <w:sz w:val="24"/>
                <w:szCs w:val="32"/>
                <w14:textFill>
                  <w14:solidFill>
                    <w14:schemeClr w14:val="tx1"/>
                  </w14:solidFill>
                </w14:textFill>
              </w:rPr>
              <w:t>本次验收使用的监测分析方法</w:t>
            </w:r>
            <w:r>
              <w:rPr>
                <w:rFonts w:hint="eastAsia" w:cs="Times New Roman" w:asciiTheme="minorEastAsia" w:hAnsiTheme="minorEastAsia"/>
                <w:color w:val="000000" w:themeColor="text1"/>
                <w:sz w:val="24"/>
                <w:szCs w:val="32"/>
                <w:lang w:eastAsia="zh-CN"/>
                <w14:textFill>
                  <w14:solidFill>
                    <w14:schemeClr w14:val="tx1"/>
                  </w14:solidFill>
                </w14:textFill>
              </w:rPr>
              <w:t>如下：</w:t>
            </w:r>
          </w:p>
          <w:p w14:paraId="1E66C4EC">
            <w:pPr>
              <w:pStyle w:val="25"/>
              <w:keepNext w:val="0"/>
              <w:keepLines w:val="0"/>
              <w:suppressLineNumbers w:val="0"/>
              <w:bidi w:val="0"/>
              <w:spacing w:before="0" w:beforeAutospacing="0" w:after="0" w:afterAutospacing="0"/>
              <w:ind w:left="0" w:right="0"/>
              <w:rPr>
                <w:rFonts w:hint="eastAsia"/>
                <w:lang w:eastAsia="zh-CN"/>
              </w:rPr>
            </w:pPr>
            <w:r>
              <w:rPr>
                <w:rFonts w:hint="eastAsia"/>
                <w:lang w:eastAsia="zh-CN"/>
              </w:rPr>
              <w:t>表</w:t>
            </w:r>
            <w:r>
              <w:rPr>
                <w:rFonts w:hint="eastAsia"/>
                <w:lang w:val="en-US" w:eastAsia="zh-CN"/>
              </w:rPr>
              <w:t>5-1 本项目验收</w:t>
            </w:r>
            <w:r>
              <w:rPr>
                <w:rFonts w:hint="eastAsia"/>
                <w:lang w:eastAsia="zh-CN"/>
              </w:rPr>
              <w:t>监测分析方法一览表</w:t>
            </w:r>
          </w:p>
          <w:tbl>
            <w:tblPr>
              <w:tblStyle w:val="19"/>
              <w:tblW w:w="49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10"/>
              <w:gridCol w:w="856"/>
              <w:gridCol w:w="3281"/>
              <w:gridCol w:w="2850"/>
              <w:gridCol w:w="1181"/>
            </w:tblGrid>
            <w:tr w14:paraId="03DC1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7" w:hRule="atLeast"/>
                <w:jc w:val="center"/>
              </w:trPr>
              <w:tc>
                <w:tcPr>
                  <w:tcW w:w="1366" w:type="dxa"/>
                  <w:gridSpan w:val="2"/>
                  <w:tcBorders>
                    <w:tl2br w:val="nil"/>
                    <w:tr2bl w:val="nil"/>
                  </w:tcBorders>
                  <w:shd w:val="clear" w:color="auto" w:fill="auto"/>
                  <w:vAlign w:val="center"/>
                </w:tcPr>
                <w:p w14:paraId="76CBED5E">
                  <w:pPr>
                    <w:pStyle w:val="24"/>
                    <w:bidi w:val="0"/>
                    <w:rPr>
                      <w:rFonts w:hint="default"/>
                      <w:lang w:val="en-US" w:eastAsia="zh-CN"/>
                    </w:rPr>
                  </w:pPr>
                  <w:r>
                    <w:rPr>
                      <w:rFonts w:hint="default"/>
                      <w:lang w:val="en-US"/>
                    </w:rPr>
                    <w:t>检测项目</w:t>
                  </w:r>
                </w:p>
              </w:tc>
              <w:tc>
                <w:tcPr>
                  <w:tcW w:w="3281" w:type="dxa"/>
                  <w:tcBorders>
                    <w:tl2br w:val="nil"/>
                    <w:tr2bl w:val="nil"/>
                  </w:tcBorders>
                  <w:shd w:val="clear" w:color="auto" w:fill="auto"/>
                  <w:vAlign w:val="center"/>
                </w:tcPr>
                <w:p w14:paraId="63CF05EA">
                  <w:pPr>
                    <w:pStyle w:val="24"/>
                    <w:bidi w:val="0"/>
                    <w:rPr>
                      <w:rFonts w:hint="default"/>
                      <w:lang w:val="en-US" w:eastAsia="zh-CN"/>
                    </w:rPr>
                  </w:pPr>
                  <w:r>
                    <w:rPr>
                      <w:rFonts w:hint="default"/>
                      <w:lang w:val="en-US"/>
                    </w:rPr>
                    <w:t>方法依据</w:t>
                  </w:r>
                </w:p>
              </w:tc>
              <w:tc>
                <w:tcPr>
                  <w:tcW w:w="2850" w:type="dxa"/>
                  <w:tcBorders>
                    <w:tl2br w:val="nil"/>
                    <w:tr2bl w:val="nil"/>
                  </w:tcBorders>
                  <w:shd w:val="clear" w:color="auto" w:fill="auto"/>
                  <w:vAlign w:val="center"/>
                </w:tcPr>
                <w:p w14:paraId="691D0B57">
                  <w:pPr>
                    <w:pStyle w:val="24"/>
                    <w:bidi w:val="0"/>
                    <w:rPr>
                      <w:rFonts w:hint="default"/>
                      <w:lang w:val="en-US" w:eastAsia="zh-CN"/>
                    </w:rPr>
                  </w:pPr>
                  <w:r>
                    <w:rPr>
                      <w:rFonts w:hint="default"/>
                      <w:lang w:val="en-US"/>
                    </w:rPr>
                    <w:t>仪器</w:t>
                  </w:r>
                  <w:r>
                    <w:rPr>
                      <w:rFonts w:hint="default"/>
                      <w:lang w:val="en-US" w:eastAsia="zh-CN"/>
                    </w:rPr>
                    <w:t>名称/型号</w:t>
                  </w:r>
                </w:p>
                <w:p w14:paraId="5DF8ABDC">
                  <w:pPr>
                    <w:pStyle w:val="24"/>
                    <w:bidi w:val="0"/>
                    <w:rPr>
                      <w:rFonts w:hint="default"/>
                      <w:lang w:val="en-US" w:eastAsia="zh-CN"/>
                    </w:rPr>
                  </w:pPr>
                  <w:r>
                    <w:rPr>
                      <w:rFonts w:hint="default"/>
                      <w:lang w:val="en-US" w:eastAsia="zh-CN"/>
                    </w:rPr>
                    <w:t>(仪器编号)</w:t>
                  </w:r>
                </w:p>
              </w:tc>
              <w:tc>
                <w:tcPr>
                  <w:tcW w:w="1181" w:type="dxa"/>
                  <w:tcBorders>
                    <w:tl2br w:val="nil"/>
                    <w:tr2bl w:val="nil"/>
                  </w:tcBorders>
                  <w:shd w:val="clear" w:color="auto" w:fill="auto"/>
                  <w:vAlign w:val="center"/>
                </w:tcPr>
                <w:p w14:paraId="52C7BD27">
                  <w:pPr>
                    <w:pStyle w:val="24"/>
                    <w:bidi w:val="0"/>
                    <w:rPr>
                      <w:rFonts w:hint="default"/>
                      <w:lang w:val="en-US" w:eastAsia="zh-CN"/>
                    </w:rPr>
                  </w:pPr>
                  <w:r>
                    <w:rPr>
                      <w:rFonts w:hint="default"/>
                      <w:lang w:val="en-US" w:eastAsia="zh-CN"/>
                    </w:rPr>
                    <w:t>方法检出限</w:t>
                  </w:r>
                </w:p>
              </w:tc>
            </w:tr>
            <w:tr w14:paraId="7DC40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 w:hRule="atLeast"/>
                <w:jc w:val="center"/>
              </w:trPr>
              <w:tc>
                <w:tcPr>
                  <w:tcW w:w="510" w:type="dxa"/>
                  <w:vMerge w:val="restart"/>
                  <w:tcBorders>
                    <w:tl2br w:val="nil"/>
                    <w:tr2bl w:val="nil"/>
                  </w:tcBorders>
                  <w:shd w:val="clear" w:color="auto" w:fill="auto"/>
                  <w:vAlign w:val="center"/>
                </w:tcPr>
                <w:p w14:paraId="3CDF4EED">
                  <w:pPr>
                    <w:pStyle w:val="24"/>
                    <w:bidi w:val="0"/>
                    <w:rPr>
                      <w:rFonts w:hint="default"/>
                      <w:lang w:val="en-US" w:eastAsia="zh-CN"/>
                    </w:rPr>
                  </w:pPr>
                  <w:r>
                    <w:rPr>
                      <w:rFonts w:hint="eastAsia"/>
                      <w:lang w:val="en-US" w:eastAsia="zh-CN"/>
                    </w:rPr>
                    <w:t>废水</w:t>
                  </w:r>
                </w:p>
              </w:tc>
              <w:tc>
                <w:tcPr>
                  <w:tcW w:w="856" w:type="dxa"/>
                  <w:tcBorders>
                    <w:tl2br w:val="nil"/>
                    <w:tr2bl w:val="nil"/>
                  </w:tcBorders>
                  <w:shd w:val="clear" w:color="auto" w:fill="auto"/>
                  <w:vAlign w:val="center"/>
                </w:tcPr>
                <w:p w14:paraId="3C07B4C8">
                  <w:pPr>
                    <w:pStyle w:val="24"/>
                    <w:bidi w:val="0"/>
                    <w:rPr>
                      <w:rFonts w:hint="default"/>
                      <w:lang w:val="en-US" w:eastAsia="zh-CN"/>
                    </w:rPr>
                  </w:pPr>
                  <w:r>
                    <w:rPr>
                      <w:rFonts w:hint="default"/>
                      <w:lang w:val="en-US" w:eastAsia="zh-CN"/>
                    </w:rPr>
                    <w:t>pH值</w:t>
                  </w:r>
                </w:p>
              </w:tc>
              <w:tc>
                <w:tcPr>
                  <w:tcW w:w="3281" w:type="dxa"/>
                  <w:tcBorders>
                    <w:tl2br w:val="nil"/>
                    <w:tr2bl w:val="nil"/>
                  </w:tcBorders>
                  <w:shd w:val="clear" w:color="auto" w:fill="auto"/>
                  <w:vAlign w:val="center"/>
                </w:tcPr>
                <w:p w14:paraId="07803998">
                  <w:pPr>
                    <w:pStyle w:val="24"/>
                    <w:bidi w:val="0"/>
                    <w:rPr>
                      <w:rFonts w:hint="default"/>
                      <w:lang w:val="en-US" w:eastAsia="zh-CN"/>
                    </w:rPr>
                  </w:pPr>
                  <w:r>
                    <w:rPr>
                      <w:rFonts w:hint="default"/>
                      <w:lang w:val="en-US" w:eastAsia="zh-CN"/>
                    </w:rPr>
                    <w:t>水质 pH值的测定 电极法</w:t>
                  </w:r>
                </w:p>
                <w:p w14:paraId="2C968B75">
                  <w:pPr>
                    <w:pStyle w:val="24"/>
                    <w:bidi w:val="0"/>
                    <w:rPr>
                      <w:rFonts w:hint="default"/>
                      <w:lang w:val="en-US" w:eastAsia="zh-CN"/>
                    </w:rPr>
                  </w:pPr>
                  <w:r>
                    <w:rPr>
                      <w:rFonts w:hint="default"/>
                      <w:lang w:val="en-US" w:eastAsia="zh-CN"/>
                    </w:rPr>
                    <w:t>HJ 1147-2020</w:t>
                  </w:r>
                </w:p>
              </w:tc>
              <w:tc>
                <w:tcPr>
                  <w:tcW w:w="2850" w:type="dxa"/>
                  <w:tcBorders>
                    <w:tl2br w:val="nil"/>
                    <w:tr2bl w:val="nil"/>
                  </w:tcBorders>
                  <w:shd w:val="clear" w:color="auto" w:fill="auto"/>
                  <w:vAlign w:val="center"/>
                </w:tcPr>
                <w:p w14:paraId="4E9D9CE6">
                  <w:pPr>
                    <w:pStyle w:val="24"/>
                    <w:bidi w:val="0"/>
                    <w:rPr>
                      <w:rFonts w:hint="eastAsia"/>
                      <w:lang w:val="en-US" w:eastAsia="zh-CN"/>
                    </w:rPr>
                  </w:pPr>
                  <w:r>
                    <w:rPr>
                      <w:rFonts w:hint="default"/>
                      <w:lang w:val="en-US" w:eastAsia="zh-CN"/>
                    </w:rPr>
                    <w:t>便携式多参数分析仪</w:t>
                  </w:r>
                  <w:r>
                    <w:rPr>
                      <w:rFonts w:hint="eastAsia"/>
                      <w:lang w:val="en-US" w:eastAsia="zh-CN"/>
                    </w:rPr>
                    <w:t>/DZB-712</w:t>
                  </w:r>
                </w:p>
                <w:p w14:paraId="36A14808">
                  <w:pPr>
                    <w:pStyle w:val="24"/>
                    <w:bidi w:val="0"/>
                    <w:rPr>
                      <w:rFonts w:hint="default"/>
                      <w:lang w:val="en-US" w:eastAsia="zh-CN"/>
                    </w:rPr>
                  </w:pPr>
                  <w:r>
                    <w:rPr>
                      <w:rFonts w:hint="default"/>
                      <w:lang w:val="en-US" w:eastAsia="zh-CN"/>
                    </w:rPr>
                    <w:t>(</w:t>
                  </w:r>
                  <w:r>
                    <w:rPr>
                      <w:rFonts w:hint="eastAsia"/>
                      <w:lang w:val="en-US" w:eastAsia="zh-CN"/>
                    </w:rPr>
                    <w:t>ZJAH-01-054</w:t>
                  </w:r>
                  <w:r>
                    <w:rPr>
                      <w:rFonts w:hint="default"/>
                      <w:lang w:val="en-US" w:eastAsia="zh-CN"/>
                    </w:rPr>
                    <w:t>)</w:t>
                  </w:r>
                </w:p>
              </w:tc>
              <w:tc>
                <w:tcPr>
                  <w:tcW w:w="1181" w:type="dxa"/>
                  <w:tcBorders>
                    <w:tl2br w:val="nil"/>
                    <w:tr2bl w:val="nil"/>
                  </w:tcBorders>
                  <w:shd w:val="clear" w:color="auto" w:fill="auto"/>
                  <w:vAlign w:val="center"/>
                </w:tcPr>
                <w:p w14:paraId="11ADEF2B">
                  <w:pPr>
                    <w:pStyle w:val="24"/>
                    <w:bidi w:val="0"/>
                    <w:rPr>
                      <w:rFonts w:hint="default"/>
                      <w:lang w:val="en-US" w:eastAsia="zh-CN"/>
                    </w:rPr>
                  </w:pPr>
                  <w:r>
                    <w:rPr>
                      <w:rFonts w:hint="eastAsia"/>
                      <w:lang w:val="en-US" w:eastAsia="zh-CN"/>
                    </w:rPr>
                    <w:t>/</w:t>
                  </w:r>
                </w:p>
              </w:tc>
            </w:tr>
            <w:tr w14:paraId="6EA03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1" w:hRule="atLeast"/>
                <w:jc w:val="center"/>
              </w:trPr>
              <w:tc>
                <w:tcPr>
                  <w:tcW w:w="510" w:type="dxa"/>
                  <w:vMerge w:val="continue"/>
                  <w:tcBorders>
                    <w:tl2br w:val="nil"/>
                    <w:tr2bl w:val="nil"/>
                  </w:tcBorders>
                  <w:shd w:val="clear" w:color="auto" w:fill="auto"/>
                  <w:vAlign w:val="center"/>
                </w:tcPr>
                <w:p w14:paraId="065AAE8E">
                  <w:pPr>
                    <w:pStyle w:val="24"/>
                    <w:bidi w:val="0"/>
                    <w:rPr>
                      <w:rFonts w:hint="eastAsia"/>
                      <w:lang w:val="en-US" w:eastAsia="zh-CN"/>
                    </w:rPr>
                  </w:pPr>
                </w:p>
              </w:tc>
              <w:tc>
                <w:tcPr>
                  <w:tcW w:w="856" w:type="dxa"/>
                  <w:vMerge w:val="restart"/>
                  <w:tcBorders>
                    <w:tl2br w:val="nil"/>
                    <w:tr2bl w:val="nil"/>
                  </w:tcBorders>
                  <w:shd w:val="clear" w:color="auto" w:fill="auto"/>
                  <w:vAlign w:val="center"/>
                </w:tcPr>
                <w:p w14:paraId="39A47202">
                  <w:pPr>
                    <w:pStyle w:val="24"/>
                    <w:bidi w:val="0"/>
                    <w:rPr>
                      <w:rFonts w:hint="default"/>
                      <w:lang w:val="en-US" w:eastAsia="zh-CN"/>
                    </w:rPr>
                  </w:pPr>
                  <w:r>
                    <w:rPr>
                      <w:rFonts w:hint="default"/>
                      <w:lang w:val="en-US" w:eastAsia="zh-CN"/>
                    </w:rPr>
                    <w:t>化学需氧量</w:t>
                  </w:r>
                </w:p>
              </w:tc>
              <w:tc>
                <w:tcPr>
                  <w:tcW w:w="3281" w:type="dxa"/>
                  <w:vMerge w:val="restart"/>
                  <w:tcBorders>
                    <w:tl2br w:val="nil"/>
                    <w:tr2bl w:val="nil"/>
                  </w:tcBorders>
                  <w:shd w:val="clear" w:color="auto" w:fill="auto"/>
                  <w:vAlign w:val="center"/>
                </w:tcPr>
                <w:p w14:paraId="34EC3DD8">
                  <w:pPr>
                    <w:pStyle w:val="24"/>
                    <w:bidi w:val="0"/>
                    <w:rPr>
                      <w:rFonts w:hint="eastAsia"/>
                      <w:lang w:val="en-US" w:eastAsia="zh-CN"/>
                    </w:rPr>
                  </w:pPr>
                  <w:r>
                    <w:rPr>
                      <w:rFonts w:hint="default"/>
                      <w:lang w:val="en-US" w:eastAsia="zh-CN"/>
                    </w:rPr>
                    <w:t>水质 化学需氧量的测定 重铬酸盐法 HJ 828-2017</w:t>
                  </w:r>
                </w:p>
              </w:tc>
              <w:tc>
                <w:tcPr>
                  <w:tcW w:w="2850" w:type="dxa"/>
                  <w:tcBorders>
                    <w:tl2br w:val="nil"/>
                    <w:tr2bl w:val="nil"/>
                  </w:tcBorders>
                  <w:vAlign w:val="center"/>
                </w:tcPr>
                <w:p w14:paraId="7EFAFCD0">
                  <w:pPr>
                    <w:pStyle w:val="24"/>
                    <w:bidi w:val="0"/>
                    <w:rPr>
                      <w:rFonts w:hint="eastAsia"/>
                      <w:lang w:val="en-US" w:eastAsia="zh-CN"/>
                    </w:rPr>
                  </w:pPr>
                  <w:r>
                    <w:rPr>
                      <w:rFonts w:hint="eastAsia"/>
                      <w:lang w:val="en-US" w:eastAsia="zh-CN"/>
                    </w:rPr>
                    <w:t>COD消解仪/NAI-COD12</w:t>
                  </w:r>
                </w:p>
                <w:p w14:paraId="0DBD5664">
                  <w:pPr>
                    <w:pStyle w:val="24"/>
                    <w:bidi w:val="0"/>
                    <w:rPr>
                      <w:rFonts w:hint="default"/>
                      <w:lang w:val="en-US" w:eastAsia="zh-CN"/>
                    </w:rPr>
                  </w:pPr>
                  <w:r>
                    <w:rPr>
                      <w:rFonts w:hint="eastAsia"/>
                      <w:lang w:val="en-US" w:eastAsia="zh-CN"/>
                    </w:rPr>
                    <w:t>(ZJAH-04-002)</w:t>
                  </w:r>
                </w:p>
              </w:tc>
              <w:tc>
                <w:tcPr>
                  <w:tcW w:w="1181" w:type="dxa"/>
                  <w:tcBorders>
                    <w:tl2br w:val="nil"/>
                    <w:tr2bl w:val="nil"/>
                  </w:tcBorders>
                  <w:vAlign w:val="center"/>
                </w:tcPr>
                <w:p w14:paraId="4C689A5C">
                  <w:pPr>
                    <w:pStyle w:val="24"/>
                    <w:bidi w:val="0"/>
                    <w:rPr>
                      <w:rFonts w:hint="eastAsia"/>
                      <w:lang w:val="en-US" w:eastAsia="zh-CN"/>
                    </w:rPr>
                  </w:pPr>
                  <w:r>
                    <w:rPr>
                      <w:rFonts w:hint="eastAsia"/>
                      <w:lang w:val="en-US" w:eastAsia="zh-CN"/>
                    </w:rPr>
                    <w:t>4mg/L</w:t>
                  </w:r>
                </w:p>
              </w:tc>
            </w:tr>
            <w:tr w14:paraId="13FD5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1" w:hRule="atLeast"/>
                <w:jc w:val="center"/>
              </w:trPr>
              <w:tc>
                <w:tcPr>
                  <w:tcW w:w="510" w:type="dxa"/>
                  <w:vMerge w:val="continue"/>
                  <w:tcBorders>
                    <w:tl2br w:val="nil"/>
                    <w:tr2bl w:val="nil"/>
                  </w:tcBorders>
                  <w:shd w:val="clear" w:color="auto" w:fill="auto"/>
                  <w:vAlign w:val="center"/>
                </w:tcPr>
                <w:p w14:paraId="026E9EAC">
                  <w:pPr>
                    <w:pStyle w:val="24"/>
                    <w:bidi w:val="0"/>
                    <w:rPr>
                      <w:rFonts w:hint="eastAsia"/>
                      <w:lang w:val="en-US" w:eastAsia="zh-CN"/>
                    </w:rPr>
                  </w:pPr>
                </w:p>
              </w:tc>
              <w:tc>
                <w:tcPr>
                  <w:tcW w:w="856" w:type="dxa"/>
                  <w:vMerge w:val="continue"/>
                  <w:tcBorders>
                    <w:tl2br w:val="nil"/>
                    <w:tr2bl w:val="nil"/>
                  </w:tcBorders>
                  <w:shd w:val="clear" w:color="auto" w:fill="auto"/>
                  <w:vAlign w:val="center"/>
                </w:tcPr>
                <w:p w14:paraId="0A10AB08">
                  <w:pPr>
                    <w:pStyle w:val="24"/>
                    <w:bidi w:val="0"/>
                    <w:rPr>
                      <w:rFonts w:hint="default"/>
                      <w:lang w:val="en-US" w:eastAsia="zh-CN"/>
                    </w:rPr>
                  </w:pPr>
                </w:p>
              </w:tc>
              <w:tc>
                <w:tcPr>
                  <w:tcW w:w="3281" w:type="dxa"/>
                  <w:vMerge w:val="continue"/>
                  <w:tcBorders>
                    <w:tl2br w:val="nil"/>
                    <w:tr2bl w:val="nil"/>
                  </w:tcBorders>
                  <w:shd w:val="clear" w:color="auto" w:fill="auto"/>
                  <w:vAlign w:val="center"/>
                </w:tcPr>
                <w:p w14:paraId="6E08D982">
                  <w:pPr>
                    <w:pStyle w:val="24"/>
                    <w:bidi w:val="0"/>
                    <w:rPr>
                      <w:rFonts w:hint="default"/>
                      <w:lang w:val="en-US" w:eastAsia="zh-CN"/>
                    </w:rPr>
                  </w:pPr>
                </w:p>
              </w:tc>
              <w:tc>
                <w:tcPr>
                  <w:tcW w:w="2850" w:type="dxa"/>
                  <w:tcBorders>
                    <w:tl2br w:val="nil"/>
                    <w:tr2bl w:val="nil"/>
                  </w:tcBorders>
                  <w:vAlign w:val="center"/>
                </w:tcPr>
                <w:p w14:paraId="124F8639">
                  <w:pPr>
                    <w:pStyle w:val="24"/>
                    <w:bidi w:val="0"/>
                    <w:rPr>
                      <w:rFonts w:hint="eastAsia"/>
                      <w:lang w:val="en-US" w:eastAsia="zh-CN"/>
                    </w:rPr>
                  </w:pPr>
                  <w:r>
                    <w:rPr>
                      <w:rFonts w:hint="eastAsia"/>
                      <w:lang w:val="en-US" w:eastAsia="zh-CN"/>
                    </w:rPr>
                    <w:t>COD消解仪/NAI-COD12</w:t>
                  </w:r>
                </w:p>
                <w:p w14:paraId="3F2840AD">
                  <w:pPr>
                    <w:pStyle w:val="24"/>
                    <w:bidi w:val="0"/>
                    <w:rPr>
                      <w:rFonts w:hint="eastAsia"/>
                      <w:lang w:val="en-US" w:eastAsia="zh-CN"/>
                    </w:rPr>
                  </w:pPr>
                  <w:r>
                    <w:rPr>
                      <w:rFonts w:hint="eastAsia"/>
                      <w:lang w:val="en-US" w:eastAsia="zh-CN"/>
                    </w:rPr>
                    <w:t>(ZJAH-04-003)</w:t>
                  </w:r>
                </w:p>
              </w:tc>
              <w:tc>
                <w:tcPr>
                  <w:tcW w:w="1181" w:type="dxa"/>
                  <w:tcBorders>
                    <w:tl2br w:val="nil"/>
                    <w:tr2bl w:val="nil"/>
                  </w:tcBorders>
                  <w:vAlign w:val="center"/>
                </w:tcPr>
                <w:p w14:paraId="6623B538">
                  <w:pPr>
                    <w:pStyle w:val="24"/>
                    <w:bidi w:val="0"/>
                    <w:rPr>
                      <w:rFonts w:hint="eastAsia"/>
                      <w:lang w:val="en-US" w:eastAsia="zh-CN"/>
                    </w:rPr>
                  </w:pPr>
                  <w:r>
                    <w:rPr>
                      <w:rFonts w:hint="eastAsia"/>
                      <w:lang w:val="en-US" w:eastAsia="zh-CN"/>
                    </w:rPr>
                    <w:t>4mg/L</w:t>
                  </w:r>
                </w:p>
              </w:tc>
            </w:tr>
            <w:tr w14:paraId="5B7B4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 w:hRule="atLeast"/>
                <w:jc w:val="center"/>
              </w:trPr>
              <w:tc>
                <w:tcPr>
                  <w:tcW w:w="510" w:type="dxa"/>
                  <w:vMerge w:val="continue"/>
                  <w:tcBorders>
                    <w:tl2br w:val="nil"/>
                    <w:tr2bl w:val="nil"/>
                  </w:tcBorders>
                  <w:shd w:val="clear" w:color="auto" w:fill="auto"/>
                  <w:vAlign w:val="center"/>
                </w:tcPr>
                <w:p w14:paraId="2A581C83">
                  <w:pPr>
                    <w:pStyle w:val="24"/>
                    <w:bidi w:val="0"/>
                    <w:rPr>
                      <w:rFonts w:hint="eastAsia"/>
                      <w:lang w:val="en-US" w:eastAsia="zh-CN"/>
                    </w:rPr>
                  </w:pPr>
                </w:p>
              </w:tc>
              <w:tc>
                <w:tcPr>
                  <w:tcW w:w="856" w:type="dxa"/>
                  <w:tcBorders>
                    <w:tl2br w:val="nil"/>
                    <w:tr2bl w:val="nil"/>
                  </w:tcBorders>
                  <w:shd w:val="clear" w:color="auto" w:fill="auto"/>
                  <w:vAlign w:val="center"/>
                </w:tcPr>
                <w:p w14:paraId="5139DE53">
                  <w:pPr>
                    <w:pStyle w:val="24"/>
                    <w:bidi w:val="0"/>
                    <w:rPr>
                      <w:rFonts w:hint="default"/>
                      <w:lang w:val="en-US" w:eastAsia="zh-CN"/>
                    </w:rPr>
                  </w:pPr>
                  <w:r>
                    <w:rPr>
                      <w:rFonts w:hint="default"/>
                      <w:lang w:val="en-US" w:eastAsia="zh-CN"/>
                    </w:rPr>
                    <w:t>氨氮</w:t>
                  </w:r>
                </w:p>
              </w:tc>
              <w:tc>
                <w:tcPr>
                  <w:tcW w:w="3281" w:type="dxa"/>
                  <w:tcBorders>
                    <w:tl2br w:val="nil"/>
                    <w:tr2bl w:val="nil"/>
                  </w:tcBorders>
                  <w:shd w:val="clear" w:color="auto" w:fill="auto"/>
                  <w:vAlign w:val="center"/>
                </w:tcPr>
                <w:p w14:paraId="58C642D0">
                  <w:pPr>
                    <w:pStyle w:val="24"/>
                    <w:bidi w:val="0"/>
                    <w:rPr>
                      <w:rFonts w:hint="eastAsia"/>
                      <w:lang w:val="en-US" w:eastAsia="zh-CN"/>
                    </w:rPr>
                  </w:pPr>
                  <w:r>
                    <w:rPr>
                      <w:rFonts w:hint="default"/>
                      <w:lang w:val="en-US" w:eastAsia="zh-CN"/>
                    </w:rPr>
                    <w:t>水质 氨氮的测定 纳氏试剂分光光度法 HJ 535-2009</w:t>
                  </w:r>
                </w:p>
              </w:tc>
              <w:tc>
                <w:tcPr>
                  <w:tcW w:w="2850" w:type="dxa"/>
                  <w:tcBorders>
                    <w:tl2br w:val="nil"/>
                    <w:tr2bl w:val="nil"/>
                  </w:tcBorders>
                  <w:vAlign w:val="center"/>
                </w:tcPr>
                <w:p w14:paraId="77D554BE">
                  <w:pPr>
                    <w:pStyle w:val="24"/>
                    <w:bidi w:val="0"/>
                    <w:rPr>
                      <w:rFonts w:hint="eastAsia"/>
                      <w:lang w:val="en-US" w:eastAsia="zh-CN"/>
                    </w:rPr>
                  </w:pPr>
                  <w:r>
                    <w:rPr>
                      <w:rFonts w:hint="default"/>
                      <w:lang w:val="en-US" w:eastAsia="zh-CN"/>
                    </w:rPr>
                    <w:t>紫外可见分光光度计</w:t>
                  </w:r>
                  <w:r>
                    <w:rPr>
                      <w:rFonts w:hint="eastAsia"/>
                      <w:lang w:val="en-US" w:eastAsia="zh-CN"/>
                    </w:rPr>
                    <w:t>/X-6</w:t>
                  </w:r>
                </w:p>
                <w:p w14:paraId="47EE268E">
                  <w:pPr>
                    <w:pStyle w:val="24"/>
                    <w:bidi w:val="0"/>
                    <w:rPr>
                      <w:rFonts w:hint="default"/>
                      <w:lang w:val="en-US" w:eastAsia="zh-CN"/>
                    </w:rPr>
                  </w:pPr>
                  <w:r>
                    <w:rPr>
                      <w:rFonts w:hint="default"/>
                      <w:lang w:val="en-US" w:eastAsia="zh-CN"/>
                    </w:rPr>
                    <w:t>(</w:t>
                  </w:r>
                  <w:r>
                    <w:rPr>
                      <w:rFonts w:hint="eastAsia"/>
                      <w:lang w:val="en-US" w:eastAsia="zh-CN"/>
                    </w:rPr>
                    <w:t>ZJAH-02-009</w:t>
                  </w:r>
                  <w:r>
                    <w:rPr>
                      <w:rFonts w:hint="default"/>
                      <w:lang w:val="en-US" w:eastAsia="zh-CN"/>
                    </w:rPr>
                    <w:t>)</w:t>
                  </w:r>
                </w:p>
              </w:tc>
              <w:tc>
                <w:tcPr>
                  <w:tcW w:w="1181" w:type="dxa"/>
                  <w:tcBorders>
                    <w:tl2br w:val="nil"/>
                    <w:tr2bl w:val="nil"/>
                  </w:tcBorders>
                  <w:vAlign w:val="center"/>
                </w:tcPr>
                <w:p w14:paraId="0BDB79EA">
                  <w:pPr>
                    <w:pStyle w:val="24"/>
                    <w:bidi w:val="0"/>
                    <w:rPr>
                      <w:rFonts w:hint="eastAsia"/>
                      <w:lang w:val="en-US" w:eastAsia="zh-CN"/>
                    </w:rPr>
                  </w:pPr>
                  <w:r>
                    <w:rPr>
                      <w:rFonts w:hint="eastAsia"/>
                      <w:lang w:val="en-US" w:eastAsia="zh-CN"/>
                    </w:rPr>
                    <w:t>0.025mg/L</w:t>
                  </w:r>
                </w:p>
              </w:tc>
            </w:tr>
            <w:tr w14:paraId="470B8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 w:hRule="atLeast"/>
                <w:jc w:val="center"/>
              </w:trPr>
              <w:tc>
                <w:tcPr>
                  <w:tcW w:w="510" w:type="dxa"/>
                  <w:vMerge w:val="continue"/>
                  <w:tcBorders>
                    <w:tl2br w:val="nil"/>
                    <w:tr2bl w:val="nil"/>
                  </w:tcBorders>
                  <w:shd w:val="clear" w:color="auto" w:fill="auto"/>
                  <w:vAlign w:val="center"/>
                </w:tcPr>
                <w:p w14:paraId="22F1826C">
                  <w:pPr>
                    <w:pStyle w:val="24"/>
                    <w:bidi w:val="0"/>
                    <w:rPr>
                      <w:rFonts w:hint="eastAsia"/>
                      <w:lang w:val="en-US" w:eastAsia="zh-CN"/>
                    </w:rPr>
                  </w:pPr>
                </w:p>
              </w:tc>
              <w:tc>
                <w:tcPr>
                  <w:tcW w:w="856" w:type="dxa"/>
                  <w:tcBorders>
                    <w:tl2br w:val="nil"/>
                    <w:tr2bl w:val="nil"/>
                  </w:tcBorders>
                  <w:shd w:val="clear" w:color="auto" w:fill="auto"/>
                  <w:vAlign w:val="center"/>
                </w:tcPr>
                <w:p w14:paraId="14A55EC6">
                  <w:pPr>
                    <w:pStyle w:val="24"/>
                    <w:bidi w:val="0"/>
                    <w:rPr>
                      <w:rFonts w:hint="default"/>
                      <w:lang w:val="en-US" w:eastAsia="zh-CN"/>
                    </w:rPr>
                  </w:pPr>
                  <w:r>
                    <w:rPr>
                      <w:rFonts w:hint="default"/>
                      <w:lang w:val="en-US" w:eastAsia="zh-CN"/>
                    </w:rPr>
                    <w:t>悬浮物</w:t>
                  </w:r>
                </w:p>
              </w:tc>
              <w:tc>
                <w:tcPr>
                  <w:tcW w:w="3281" w:type="dxa"/>
                  <w:tcBorders>
                    <w:tl2br w:val="nil"/>
                    <w:tr2bl w:val="nil"/>
                  </w:tcBorders>
                  <w:shd w:val="clear" w:color="auto" w:fill="auto"/>
                  <w:vAlign w:val="center"/>
                </w:tcPr>
                <w:p w14:paraId="52FC1A42">
                  <w:pPr>
                    <w:pStyle w:val="24"/>
                    <w:bidi w:val="0"/>
                    <w:rPr>
                      <w:rFonts w:hint="default"/>
                      <w:lang w:val="en-US" w:eastAsia="zh-CN"/>
                    </w:rPr>
                  </w:pPr>
                  <w:r>
                    <w:rPr>
                      <w:rFonts w:hint="default"/>
                      <w:lang w:val="en-US" w:eastAsia="zh-CN"/>
                    </w:rPr>
                    <w:t>水质 悬浮物的测定 重量法</w:t>
                  </w:r>
                </w:p>
                <w:p w14:paraId="0BE3814C">
                  <w:pPr>
                    <w:pStyle w:val="24"/>
                    <w:bidi w:val="0"/>
                    <w:rPr>
                      <w:rFonts w:hint="eastAsia"/>
                      <w:lang w:val="en-US" w:eastAsia="zh-CN"/>
                    </w:rPr>
                  </w:pPr>
                  <w:r>
                    <w:rPr>
                      <w:rFonts w:hint="default"/>
                      <w:lang w:val="en-US" w:eastAsia="zh-CN"/>
                    </w:rPr>
                    <w:t>GB 11901-1989</w:t>
                  </w:r>
                </w:p>
              </w:tc>
              <w:tc>
                <w:tcPr>
                  <w:tcW w:w="2850" w:type="dxa"/>
                  <w:tcBorders>
                    <w:tl2br w:val="nil"/>
                    <w:tr2bl w:val="nil"/>
                  </w:tcBorders>
                  <w:vAlign w:val="center"/>
                </w:tcPr>
                <w:p w14:paraId="4B67C537">
                  <w:pPr>
                    <w:pStyle w:val="24"/>
                    <w:bidi w:val="0"/>
                    <w:rPr>
                      <w:rFonts w:hint="default"/>
                      <w:lang w:val="en-US" w:eastAsia="zh-CN"/>
                    </w:rPr>
                  </w:pPr>
                  <w:r>
                    <w:rPr>
                      <w:rFonts w:hint="default"/>
                      <w:lang w:val="en-US" w:eastAsia="zh-CN"/>
                    </w:rPr>
                    <w:t>岛津电子天平</w:t>
                  </w:r>
                  <w:r>
                    <w:rPr>
                      <w:rFonts w:hint="eastAsia"/>
                      <w:lang w:val="en-US" w:eastAsia="zh-CN"/>
                    </w:rPr>
                    <w:t>/</w:t>
                  </w:r>
                  <w:r>
                    <w:rPr>
                      <w:rFonts w:hint="default"/>
                      <w:lang w:val="en-US" w:eastAsia="zh-CN"/>
                    </w:rPr>
                    <w:t>ATX224R</w:t>
                  </w:r>
                </w:p>
                <w:p w14:paraId="23FCAE37">
                  <w:pPr>
                    <w:pStyle w:val="24"/>
                    <w:bidi w:val="0"/>
                    <w:rPr>
                      <w:rFonts w:hint="default"/>
                      <w:lang w:val="en-US" w:eastAsia="zh-CN"/>
                    </w:rPr>
                  </w:pPr>
                  <w:r>
                    <w:rPr>
                      <w:rFonts w:hint="default"/>
                      <w:lang w:val="en-US" w:eastAsia="zh-CN"/>
                    </w:rPr>
                    <w:t>(ZJAH-02-011)</w:t>
                  </w:r>
                </w:p>
              </w:tc>
              <w:tc>
                <w:tcPr>
                  <w:tcW w:w="1181" w:type="dxa"/>
                  <w:tcBorders>
                    <w:tl2br w:val="nil"/>
                    <w:tr2bl w:val="nil"/>
                  </w:tcBorders>
                  <w:vAlign w:val="center"/>
                </w:tcPr>
                <w:p w14:paraId="54C7C84B">
                  <w:pPr>
                    <w:pStyle w:val="24"/>
                    <w:bidi w:val="0"/>
                    <w:rPr>
                      <w:rFonts w:hint="eastAsia"/>
                      <w:lang w:val="en-US" w:eastAsia="zh-CN"/>
                    </w:rPr>
                  </w:pPr>
                  <w:r>
                    <w:rPr>
                      <w:rFonts w:hint="eastAsia"/>
                      <w:lang w:val="en-US" w:eastAsia="zh-CN"/>
                    </w:rPr>
                    <w:t>/</w:t>
                  </w:r>
                </w:p>
              </w:tc>
            </w:tr>
            <w:tr w14:paraId="5B3ED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 w:hRule="atLeast"/>
                <w:jc w:val="center"/>
              </w:trPr>
              <w:tc>
                <w:tcPr>
                  <w:tcW w:w="510" w:type="dxa"/>
                  <w:vMerge w:val="continue"/>
                  <w:tcBorders>
                    <w:tl2br w:val="nil"/>
                    <w:tr2bl w:val="nil"/>
                  </w:tcBorders>
                  <w:shd w:val="clear" w:color="auto" w:fill="auto"/>
                  <w:vAlign w:val="center"/>
                </w:tcPr>
                <w:p w14:paraId="1B594DD6">
                  <w:pPr>
                    <w:pStyle w:val="24"/>
                    <w:bidi w:val="0"/>
                    <w:rPr>
                      <w:rFonts w:hint="eastAsia"/>
                      <w:lang w:val="en-US" w:eastAsia="zh-CN"/>
                    </w:rPr>
                  </w:pPr>
                </w:p>
              </w:tc>
              <w:tc>
                <w:tcPr>
                  <w:tcW w:w="856" w:type="dxa"/>
                  <w:tcBorders>
                    <w:tl2br w:val="nil"/>
                    <w:tr2bl w:val="nil"/>
                  </w:tcBorders>
                  <w:shd w:val="clear" w:color="auto" w:fill="auto"/>
                  <w:vAlign w:val="center"/>
                </w:tcPr>
                <w:p w14:paraId="3C6E0DA7">
                  <w:pPr>
                    <w:pStyle w:val="24"/>
                    <w:bidi w:val="0"/>
                    <w:rPr>
                      <w:rFonts w:hint="default"/>
                      <w:lang w:val="en-US" w:eastAsia="zh-CN"/>
                    </w:rPr>
                  </w:pPr>
                  <w:r>
                    <w:rPr>
                      <w:rFonts w:hint="eastAsia"/>
                      <w:lang w:val="en-US" w:eastAsia="zh-CN"/>
                    </w:rPr>
                    <w:t>石油类</w:t>
                  </w:r>
                </w:p>
              </w:tc>
              <w:tc>
                <w:tcPr>
                  <w:tcW w:w="3281" w:type="dxa"/>
                  <w:tcBorders>
                    <w:tl2br w:val="nil"/>
                    <w:tr2bl w:val="nil"/>
                  </w:tcBorders>
                  <w:shd w:val="clear" w:color="auto" w:fill="auto"/>
                  <w:vAlign w:val="center"/>
                </w:tcPr>
                <w:p w14:paraId="381E479E">
                  <w:pPr>
                    <w:pStyle w:val="24"/>
                    <w:bidi w:val="0"/>
                    <w:rPr>
                      <w:rFonts w:hint="default"/>
                      <w:lang w:val="en-US" w:eastAsia="zh-CN"/>
                    </w:rPr>
                  </w:pPr>
                  <w:r>
                    <w:rPr>
                      <w:rFonts w:hint="default"/>
                      <w:lang w:val="en-US" w:eastAsia="zh-CN"/>
                    </w:rPr>
                    <w:t>水质 石油类和动植物油类的测定 红外分光光度法 HJ 637-2018</w:t>
                  </w:r>
                </w:p>
              </w:tc>
              <w:tc>
                <w:tcPr>
                  <w:tcW w:w="2850" w:type="dxa"/>
                  <w:tcBorders>
                    <w:tl2br w:val="nil"/>
                    <w:tr2bl w:val="nil"/>
                  </w:tcBorders>
                  <w:shd w:val="clear" w:color="auto" w:fill="auto"/>
                  <w:vAlign w:val="center"/>
                </w:tcPr>
                <w:p w14:paraId="37990B81">
                  <w:pPr>
                    <w:pStyle w:val="24"/>
                    <w:bidi w:val="0"/>
                    <w:rPr>
                      <w:rFonts w:hint="default"/>
                      <w:lang w:val="en-US" w:eastAsia="zh-CN"/>
                    </w:rPr>
                  </w:pPr>
                  <w:r>
                    <w:rPr>
                      <w:rFonts w:hint="default"/>
                      <w:lang w:val="en-US" w:eastAsia="zh-CN"/>
                    </w:rPr>
                    <w:t>红外测油仪</w:t>
                  </w:r>
                  <w:r>
                    <w:rPr>
                      <w:rFonts w:hint="eastAsia"/>
                      <w:lang w:val="en-US" w:eastAsia="zh-CN"/>
                    </w:rPr>
                    <w:t>/</w:t>
                  </w:r>
                  <w:r>
                    <w:rPr>
                      <w:rFonts w:hint="default"/>
                      <w:lang w:val="en-US" w:eastAsia="zh-CN"/>
                    </w:rPr>
                    <w:t>EP-600</w:t>
                  </w:r>
                </w:p>
                <w:p w14:paraId="36A3EF70">
                  <w:pPr>
                    <w:pStyle w:val="24"/>
                    <w:bidi w:val="0"/>
                    <w:rPr>
                      <w:rFonts w:hint="default"/>
                      <w:lang w:val="en-US" w:eastAsia="zh-CN"/>
                    </w:rPr>
                  </w:pPr>
                  <w:r>
                    <w:rPr>
                      <w:rFonts w:hint="default"/>
                      <w:lang w:val="en-US" w:eastAsia="zh-CN"/>
                    </w:rPr>
                    <w:t>(ZJAH-02-006)</w:t>
                  </w:r>
                </w:p>
              </w:tc>
              <w:tc>
                <w:tcPr>
                  <w:tcW w:w="1181" w:type="dxa"/>
                  <w:tcBorders>
                    <w:tl2br w:val="nil"/>
                    <w:tr2bl w:val="nil"/>
                  </w:tcBorders>
                  <w:shd w:val="clear" w:color="auto" w:fill="auto"/>
                  <w:vAlign w:val="center"/>
                </w:tcPr>
                <w:p w14:paraId="025A8A96">
                  <w:pPr>
                    <w:pStyle w:val="24"/>
                    <w:bidi w:val="0"/>
                    <w:rPr>
                      <w:rFonts w:hint="eastAsia"/>
                      <w:lang w:val="en-US" w:eastAsia="zh-CN"/>
                    </w:rPr>
                  </w:pPr>
                  <w:r>
                    <w:rPr>
                      <w:rFonts w:hint="eastAsia"/>
                      <w:lang w:val="en-US" w:eastAsia="zh-CN"/>
                    </w:rPr>
                    <w:t>0.06mg/L</w:t>
                  </w:r>
                </w:p>
              </w:tc>
            </w:tr>
            <w:tr w14:paraId="643AA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 w:hRule="atLeast"/>
                <w:jc w:val="center"/>
              </w:trPr>
              <w:tc>
                <w:tcPr>
                  <w:tcW w:w="510" w:type="dxa"/>
                  <w:vMerge w:val="continue"/>
                  <w:tcBorders>
                    <w:tl2br w:val="nil"/>
                    <w:tr2bl w:val="nil"/>
                  </w:tcBorders>
                  <w:shd w:val="clear" w:color="auto" w:fill="auto"/>
                  <w:vAlign w:val="center"/>
                </w:tcPr>
                <w:p w14:paraId="42534352">
                  <w:pPr>
                    <w:pStyle w:val="24"/>
                    <w:bidi w:val="0"/>
                    <w:rPr>
                      <w:rFonts w:hint="eastAsia"/>
                      <w:lang w:val="en-US" w:eastAsia="zh-CN"/>
                    </w:rPr>
                  </w:pPr>
                </w:p>
              </w:tc>
              <w:tc>
                <w:tcPr>
                  <w:tcW w:w="856" w:type="dxa"/>
                  <w:tcBorders>
                    <w:tl2br w:val="nil"/>
                    <w:tr2bl w:val="nil"/>
                  </w:tcBorders>
                  <w:shd w:val="clear" w:color="auto" w:fill="auto"/>
                  <w:vAlign w:val="center"/>
                </w:tcPr>
                <w:p w14:paraId="1DD80F70">
                  <w:pPr>
                    <w:pStyle w:val="24"/>
                    <w:bidi w:val="0"/>
                    <w:rPr>
                      <w:rFonts w:hint="eastAsia"/>
                      <w:lang w:val="en-US" w:eastAsia="zh-CN"/>
                    </w:rPr>
                  </w:pPr>
                  <w:r>
                    <w:rPr>
                      <w:rFonts w:hint="eastAsia"/>
                      <w:lang w:val="en-US" w:eastAsia="zh-CN"/>
                    </w:rPr>
                    <w:t>动植物</w:t>
                  </w:r>
                </w:p>
                <w:p w14:paraId="4409E0C5">
                  <w:pPr>
                    <w:pStyle w:val="24"/>
                    <w:bidi w:val="0"/>
                    <w:rPr>
                      <w:rFonts w:hint="default"/>
                      <w:lang w:val="en-US" w:eastAsia="zh-CN"/>
                    </w:rPr>
                  </w:pPr>
                  <w:r>
                    <w:rPr>
                      <w:rFonts w:hint="eastAsia"/>
                      <w:lang w:val="en-US" w:eastAsia="zh-CN"/>
                    </w:rPr>
                    <w:t>油类</w:t>
                  </w:r>
                </w:p>
              </w:tc>
              <w:tc>
                <w:tcPr>
                  <w:tcW w:w="3281" w:type="dxa"/>
                  <w:tcBorders>
                    <w:tl2br w:val="nil"/>
                    <w:tr2bl w:val="nil"/>
                  </w:tcBorders>
                  <w:shd w:val="clear" w:color="auto" w:fill="auto"/>
                  <w:vAlign w:val="center"/>
                </w:tcPr>
                <w:p w14:paraId="5E473808">
                  <w:pPr>
                    <w:pStyle w:val="24"/>
                    <w:bidi w:val="0"/>
                    <w:rPr>
                      <w:rFonts w:hint="default"/>
                      <w:lang w:val="en-US" w:eastAsia="zh-CN"/>
                    </w:rPr>
                  </w:pPr>
                  <w:r>
                    <w:rPr>
                      <w:rFonts w:hint="default"/>
                      <w:lang w:val="en-US" w:eastAsia="zh-CN"/>
                    </w:rPr>
                    <w:t>水质 石油类和动植物油类的测定 红外分光光度法 HJ 637-2018</w:t>
                  </w:r>
                </w:p>
              </w:tc>
              <w:tc>
                <w:tcPr>
                  <w:tcW w:w="2850" w:type="dxa"/>
                  <w:tcBorders>
                    <w:tl2br w:val="nil"/>
                    <w:tr2bl w:val="nil"/>
                  </w:tcBorders>
                  <w:shd w:val="clear" w:color="auto" w:fill="auto"/>
                  <w:vAlign w:val="center"/>
                </w:tcPr>
                <w:p w14:paraId="0B5FA567">
                  <w:pPr>
                    <w:pStyle w:val="24"/>
                    <w:bidi w:val="0"/>
                    <w:rPr>
                      <w:rFonts w:hint="default"/>
                      <w:lang w:val="en-US" w:eastAsia="zh-CN"/>
                    </w:rPr>
                  </w:pPr>
                  <w:r>
                    <w:rPr>
                      <w:rFonts w:hint="default"/>
                      <w:lang w:val="en-US" w:eastAsia="zh-CN"/>
                    </w:rPr>
                    <w:t>红外测油仪</w:t>
                  </w:r>
                  <w:r>
                    <w:rPr>
                      <w:rFonts w:hint="eastAsia"/>
                      <w:lang w:val="en-US" w:eastAsia="zh-CN"/>
                    </w:rPr>
                    <w:t>/</w:t>
                  </w:r>
                  <w:r>
                    <w:rPr>
                      <w:rFonts w:hint="default"/>
                      <w:lang w:val="en-US" w:eastAsia="zh-CN"/>
                    </w:rPr>
                    <w:t>EP-600</w:t>
                  </w:r>
                </w:p>
                <w:p w14:paraId="7286DEAD">
                  <w:pPr>
                    <w:pStyle w:val="24"/>
                    <w:bidi w:val="0"/>
                    <w:rPr>
                      <w:rFonts w:hint="default"/>
                      <w:lang w:val="en-US" w:eastAsia="zh-CN"/>
                    </w:rPr>
                  </w:pPr>
                  <w:r>
                    <w:rPr>
                      <w:rFonts w:hint="default"/>
                      <w:lang w:val="en-US" w:eastAsia="zh-CN"/>
                    </w:rPr>
                    <w:t>(ZJAH-02-006)</w:t>
                  </w:r>
                </w:p>
              </w:tc>
              <w:tc>
                <w:tcPr>
                  <w:tcW w:w="1181" w:type="dxa"/>
                  <w:tcBorders>
                    <w:tl2br w:val="nil"/>
                    <w:tr2bl w:val="nil"/>
                  </w:tcBorders>
                  <w:shd w:val="clear" w:color="auto" w:fill="auto"/>
                  <w:vAlign w:val="center"/>
                </w:tcPr>
                <w:p w14:paraId="12DFCD9C">
                  <w:pPr>
                    <w:pStyle w:val="24"/>
                    <w:bidi w:val="0"/>
                    <w:rPr>
                      <w:rFonts w:hint="eastAsia"/>
                      <w:lang w:val="en-US" w:eastAsia="zh-CN"/>
                    </w:rPr>
                  </w:pPr>
                  <w:r>
                    <w:rPr>
                      <w:rFonts w:hint="eastAsia"/>
                      <w:lang w:val="en-US" w:eastAsia="zh-CN"/>
                    </w:rPr>
                    <w:t>0.06mg/L</w:t>
                  </w:r>
                </w:p>
              </w:tc>
            </w:tr>
            <w:tr w14:paraId="3BCF0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 w:hRule="atLeast"/>
                <w:jc w:val="center"/>
              </w:trPr>
              <w:tc>
                <w:tcPr>
                  <w:tcW w:w="510" w:type="dxa"/>
                  <w:vMerge w:val="continue"/>
                  <w:tcBorders>
                    <w:tl2br w:val="nil"/>
                    <w:tr2bl w:val="nil"/>
                  </w:tcBorders>
                  <w:shd w:val="clear" w:color="auto" w:fill="auto"/>
                  <w:vAlign w:val="center"/>
                </w:tcPr>
                <w:p w14:paraId="5C5034C6">
                  <w:pPr>
                    <w:pStyle w:val="24"/>
                    <w:bidi w:val="0"/>
                    <w:rPr>
                      <w:rFonts w:hint="eastAsia"/>
                      <w:lang w:val="en-US" w:eastAsia="zh-CN"/>
                    </w:rPr>
                  </w:pPr>
                </w:p>
              </w:tc>
              <w:tc>
                <w:tcPr>
                  <w:tcW w:w="856" w:type="dxa"/>
                  <w:tcBorders>
                    <w:tl2br w:val="nil"/>
                    <w:tr2bl w:val="nil"/>
                  </w:tcBorders>
                  <w:shd w:val="clear" w:color="auto" w:fill="auto"/>
                  <w:vAlign w:val="center"/>
                </w:tcPr>
                <w:p w14:paraId="4B5E7AF9">
                  <w:pPr>
                    <w:pStyle w:val="24"/>
                    <w:bidi w:val="0"/>
                    <w:rPr>
                      <w:rFonts w:hint="default"/>
                      <w:lang w:val="en-US" w:eastAsia="zh-CN"/>
                    </w:rPr>
                  </w:pPr>
                  <w:r>
                    <w:rPr>
                      <w:rFonts w:hint="eastAsia"/>
                      <w:lang w:val="en-US" w:eastAsia="zh-CN"/>
                    </w:rPr>
                    <w:t>阴离子表面活性剂</w:t>
                  </w:r>
                </w:p>
              </w:tc>
              <w:tc>
                <w:tcPr>
                  <w:tcW w:w="3281" w:type="dxa"/>
                  <w:tcBorders>
                    <w:tl2br w:val="nil"/>
                    <w:tr2bl w:val="nil"/>
                  </w:tcBorders>
                  <w:shd w:val="clear" w:color="auto" w:fill="auto"/>
                  <w:vAlign w:val="center"/>
                </w:tcPr>
                <w:p w14:paraId="3F1FA57E">
                  <w:pPr>
                    <w:pStyle w:val="24"/>
                    <w:bidi w:val="0"/>
                    <w:rPr>
                      <w:rFonts w:hint="default"/>
                      <w:lang w:val="en-US" w:eastAsia="zh-CN"/>
                    </w:rPr>
                  </w:pPr>
                  <w:r>
                    <w:rPr>
                      <w:rFonts w:hint="eastAsia"/>
                      <w:lang w:val="en-US" w:eastAsia="zh-CN"/>
                    </w:rPr>
                    <w:t>水质 阴离子表面活性剂的测定 亚甲蓝分光光度法 GB 7494-1987</w:t>
                  </w:r>
                </w:p>
              </w:tc>
              <w:tc>
                <w:tcPr>
                  <w:tcW w:w="2850" w:type="dxa"/>
                  <w:tcBorders>
                    <w:tl2br w:val="nil"/>
                    <w:tr2bl w:val="nil"/>
                  </w:tcBorders>
                  <w:shd w:val="clear" w:color="auto" w:fill="auto"/>
                  <w:vAlign w:val="center"/>
                </w:tcPr>
                <w:p w14:paraId="3FBACEB6">
                  <w:pPr>
                    <w:pStyle w:val="24"/>
                    <w:bidi w:val="0"/>
                    <w:rPr>
                      <w:rFonts w:hint="eastAsia"/>
                      <w:lang w:val="en-US" w:eastAsia="zh-CN"/>
                    </w:rPr>
                  </w:pPr>
                  <w:r>
                    <w:rPr>
                      <w:rFonts w:hint="default"/>
                      <w:lang w:val="en-US" w:eastAsia="zh-CN"/>
                    </w:rPr>
                    <w:t>紫外可见分光光度计</w:t>
                  </w:r>
                  <w:r>
                    <w:rPr>
                      <w:rFonts w:hint="eastAsia"/>
                      <w:lang w:val="en-US" w:eastAsia="zh-CN"/>
                    </w:rPr>
                    <w:t>/X-6</w:t>
                  </w:r>
                </w:p>
                <w:p w14:paraId="4C0215FE">
                  <w:pPr>
                    <w:pStyle w:val="24"/>
                    <w:bidi w:val="0"/>
                    <w:rPr>
                      <w:rFonts w:hint="default"/>
                      <w:lang w:val="en-US" w:eastAsia="zh-CN"/>
                    </w:rPr>
                  </w:pPr>
                  <w:r>
                    <w:rPr>
                      <w:rFonts w:hint="default"/>
                      <w:lang w:val="en-US" w:eastAsia="zh-CN"/>
                    </w:rPr>
                    <w:t>(</w:t>
                  </w:r>
                  <w:r>
                    <w:rPr>
                      <w:rFonts w:hint="eastAsia"/>
                      <w:lang w:val="en-US" w:eastAsia="zh-CN"/>
                    </w:rPr>
                    <w:t>ZJAH-02-009</w:t>
                  </w:r>
                  <w:r>
                    <w:rPr>
                      <w:rFonts w:hint="default"/>
                      <w:lang w:val="en-US" w:eastAsia="zh-CN"/>
                    </w:rPr>
                    <w:t>)</w:t>
                  </w:r>
                </w:p>
              </w:tc>
              <w:tc>
                <w:tcPr>
                  <w:tcW w:w="1181" w:type="dxa"/>
                  <w:tcBorders>
                    <w:tl2br w:val="nil"/>
                    <w:tr2bl w:val="nil"/>
                  </w:tcBorders>
                  <w:shd w:val="clear" w:color="auto" w:fill="auto"/>
                  <w:vAlign w:val="center"/>
                </w:tcPr>
                <w:p w14:paraId="59345F64">
                  <w:pPr>
                    <w:pStyle w:val="24"/>
                    <w:bidi w:val="0"/>
                    <w:rPr>
                      <w:rFonts w:hint="eastAsia"/>
                      <w:lang w:val="en-US" w:eastAsia="zh-CN"/>
                    </w:rPr>
                  </w:pPr>
                  <w:r>
                    <w:rPr>
                      <w:rFonts w:hint="eastAsia"/>
                      <w:lang w:val="en-US" w:eastAsia="zh-CN"/>
                    </w:rPr>
                    <w:t>最低检出浓度：0.05mg/L</w:t>
                  </w:r>
                </w:p>
              </w:tc>
            </w:tr>
            <w:tr w14:paraId="1214D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 w:hRule="atLeast"/>
                <w:jc w:val="center"/>
              </w:trPr>
              <w:tc>
                <w:tcPr>
                  <w:tcW w:w="510" w:type="dxa"/>
                  <w:vMerge w:val="restart"/>
                  <w:shd w:val="clear" w:color="auto" w:fill="auto"/>
                  <w:vAlign w:val="center"/>
                </w:tcPr>
                <w:p w14:paraId="366DE71C">
                  <w:pPr>
                    <w:pStyle w:val="24"/>
                    <w:bidi w:val="0"/>
                    <w:rPr>
                      <w:rFonts w:hint="eastAsia"/>
                      <w:lang w:val="en-US" w:eastAsia="zh-CN"/>
                    </w:rPr>
                  </w:pPr>
                  <w:r>
                    <w:rPr>
                      <w:rFonts w:hint="eastAsia"/>
                      <w:lang w:val="en-US" w:eastAsia="zh-CN"/>
                    </w:rPr>
                    <w:t>无组织废气</w:t>
                  </w:r>
                </w:p>
              </w:tc>
              <w:tc>
                <w:tcPr>
                  <w:tcW w:w="856" w:type="dxa"/>
                  <w:shd w:val="clear" w:color="auto" w:fill="auto"/>
                  <w:vAlign w:val="center"/>
                </w:tcPr>
                <w:p w14:paraId="4137DC20">
                  <w:pPr>
                    <w:pStyle w:val="24"/>
                    <w:bidi w:val="0"/>
                    <w:rPr>
                      <w:rFonts w:hint="eastAsia"/>
                      <w:lang w:val="en-US" w:eastAsia="zh-CN"/>
                    </w:rPr>
                  </w:pPr>
                  <w:r>
                    <w:rPr>
                      <w:rFonts w:hint="eastAsia"/>
                      <w:lang w:val="en-US" w:eastAsia="zh-CN"/>
                    </w:rPr>
                    <w:t>总悬浮</w:t>
                  </w:r>
                </w:p>
                <w:p w14:paraId="0A02AA6A">
                  <w:pPr>
                    <w:pStyle w:val="24"/>
                    <w:bidi w:val="0"/>
                    <w:rPr>
                      <w:rFonts w:hint="eastAsia"/>
                      <w:lang w:val="en-US" w:eastAsia="zh-CN"/>
                    </w:rPr>
                  </w:pPr>
                  <w:r>
                    <w:rPr>
                      <w:rFonts w:hint="eastAsia"/>
                      <w:lang w:val="en-US" w:eastAsia="zh-CN"/>
                    </w:rPr>
                    <w:t>颗粒物</w:t>
                  </w:r>
                </w:p>
              </w:tc>
              <w:tc>
                <w:tcPr>
                  <w:tcW w:w="3281" w:type="dxa"/>
                  <w:tcBorders>
                    <w:tl2br w:val="nil"/>
                    <w:tr2bl w:val="nil"/>
                  </w:tcBorders>
                  <w:shd w:val="clear" w:color="auto" w:fill="auto"/>
                  <w:vAlign w:val="center"/>
                </w:tcPr>
                <w:p w14:paraId="77D59C57">
                  <w:pPr>
                    <w:pStyle w:val="24"/>
                    <w:bidi w:val="0"/>
                    <w:rPr>
                      <w:rFonts w:hint="eastAsia"/>
                      <w:lang w:val="en-US" w:eastAsia="zh-CN"/>
                    </w:rPr>
                  </w:pPr>
                  <w:r>
                    <w:rPr>
                      <w:rFonts w:hint="eastAsia"/>
                      <w:lang w:val="en-US" w:eastAsia="zh-CN"/>
                    </w:rPr>
                    <w:t>环境空气 总悬浮颗粒物的测定</w:t>
                  </w:r>
                </w:p>
                <w:p w14:paraId="3B02F3FF">
                  <w:pPr>
                    <w:pStyle w:val="24"/>
                    <w:bidi w:val="0"/>
                    <w:rPr>
                      <w:rFonts w:hint="eastAsia"/>
                      <w:lang w:val="en-US" w:eastAsia="zh-CN"/>
                    </w:rPr>
                  </w:pPr>
                  <w:r>
                    <w:rPr>
                      <w:rFonts w:hint="eastAsia"/>
                      <w:lang w:val="en-US" w:eastAsia="zh-CN"/>
                    </w:rPr>
                    <w:t>重量法 HJ 1263-2022</w:t>
                  </w:r>
                </w:p>
              </w:tc>
              <w:tc>
                <w:tcPr>
                  <w:tcW w:w="2850" w:type="dxa"/>
                  <w:tcBorders>
                    <w:tl2br w:val="nil"/>
                    <w:tr2bl w:val="nil"/>
                  </w:tcBorders>
                  <w:shd w:val="clear" w:color="auto" w:fill="auto"/>
                  <w:vAlign w:val="center"/>
                </w:tcPr>
                <w:p w14:paraId="35B030E2">
                  <w:pPr>
                    <w:pStyle w:val="24"/>
                    <w:bidi w:val="0"/>
                    <w:rPr>
                      <w:rFonts w:hint="eastAsia"/>
                      <w:lang w:val="en-US" w:eastAsia="zh-CN"/>
                    </w:rPr>
                  </w:pPr>
                  <w:r>
                    <w:rPr>
                      <w:rFonts w:hint="default"/>
                      <w:lang w:val="en-US" w:eastAsia="zh-CN"/>
                    </w:rPr>
                    <w:t>岛津十万分之一电子天平</w:t>
                  </w:r>
                  <w:r>
                    <w:rPr>
                      <w:rFonts w:hint="eastAsia"/>
                      <w:lang w:val="en-US" w:eastAsia="zh-CN"/>
                    </w:rPr>
                    <w:t>/AP125WD</w:t>
                  </w:r>
                </w:p>
                <w:p w14:paraId="58C56BE1">
                  <w:pPr>
                    <w:pStyle w:val="24"/>
                    <w:bidi w:val="0"/>
                    <w:rPr>
                      <w:rFonts w:hint="default"/>
                      <w:lang w:val="en-US" w:eastAsia="zh-CN"/>
                    </w:rPr>
                  </w:pPr>
                  <w:r>
                    <w:rPr>
                      <w:rFonts w:hint="default"/>
                      <w:lang w:val="en-US" w:eastAsia="zh-CN"/>
                    </w:rPr>
                    <w:t>(</w:t>
                  </w:r>
                  <w:r>
                    <w:rPr>
                      <w:rFonts w:hint="eastAsia"/>
                      <w:lang w:val="en-US" w:eastAsia="zh-CN"/>
                    </w:rPr>
                    <w:t>ZJAH-02-012</w:t>
                  </w:r>
                  <w:r>
                    <w:rPr>
                      <w:rFonts w:hint="default"/>
                      <w:lang w:val="en-US" w:eastAsia="zh-CN"/>
                    </w:rPr>
                    <w:t>)</w:t>
                  </w:r>
                </w:p>
              </w:tc>
              <w:tc>
                <w:tcPr>
                  <w:tcW w:w="1181" w:type="dxa"/>
                  <w:tcBorders>
                    <w:tl2br w:val="nil"/>
                    <w:tr2bl w:val="nil"/>
                  </w:tcBorders>
                  <w:shd w:val="clear" w:color="auto" w:fill="auto"/>
                  <w:vAlign w:val="center"/>
                </w:tcPr>
                <w:p w14:paraId="6B5E48F5">
                  <w:pPr>
                    <w:pStyle w:val="24"/>
                    <w:bidi w:val="0"/>
                    <w:rPr>
                      <w:rFonts w:hint="eastAsia"/>
                      <w:lang w:val="en-US" w:eastAsia="zh-CN"/>
                    </w:rPr>
                  </w:pPr>
                  <w:r>
                    <w:rPr>
                      <w:rFonts w:hint="eastAsia"/>
                      <w:lang w:val="en-US" w:eastAsia="zh-CN"/>
                    </w:rPr>
                    <w:t>7</w:t>
                  </w:r>
                  <w:r>
                    <w:rPr>
                      <w:rFonts w:hint="default"/>
                      <w:lang w:val="en-US" w:eastAsia="zh-CN"/>
                    </w:rPr>
                    <w:t>μ</w:t>
                  </w:r>
                  <w:r>
                    <w:rPr>
                      <w:rFonts w:hint="eastAsia"/>
                      <w:lang w:val="en-US" w:eastAsia="zh-CN"/>
                    </w:rPr>
                    <w:t>g/m3</w:t>
                  </w:r>
                </w:p>
              </w:tc>
            </w:tr>
            <w:tr w14:paraId="2A938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 w:hRule="atLeast"/>
                <w:jc w:val="center"/>
              </w:trPr>
              <w:tc>
                <w:tcPr>
                  <w:tcW w:w="510" w:type="dxa"/>
                  <w:vMerge w:val="continue"/>
                  <w:shd w:val="clear" w:color="auto" w:fill="auto"/>
                  <w:vAlign w:val="center"/>
                </w:tcPr>
                <w:p w14:paraId="60FA4498">
                  <w:pPr>
                    <w:pStyle w:val="24"/>
                    <w:bidi w:val="0"/>
                    <w:rPr>
                      <w:rFonts w:hint="eastAsia"/>
                      <w:lang w:val="en-US" w:eastAsia="zh-CN"/>
                    </w:rPr>
                  </w:pPr>
                </w:p>
              </w:tc>
              <w:tc>
                <w:tcPr>
                  <w:tcW w:w="856" w:type="dxa"/>
                  <w:shd w:val="clear" w:color="auto" w:fill="auto"/>
                  <w:vAlign w:val="center"/>
                </w:tcPr>
                <w:p w14:paraId="060B97F2">
                  <w:pPr>
                    <w:pStyle w:val="24"/>
                    <w:bidi w:val="0"/>
                    <w:rPr>
                      <w:rFonts w:hint="eastAsia"/>
                      <w:lang w:val="en-US" w:eastAsia="zh-CN"/>
                    </w:rPr>
                  </w:pPr>
                  <w:r>
                    <w:rPr>
                      <w:rFonts w:hint="eastAsia"/>
                      <w:lang w:val="en-US" w:eastAsia="zh-CN"/>
                    </w:rPr>
                    <w:t>非甲烷总烃</w:t>
                  </w:r>
                </w:p>
              </w:tc>
              <w:tc>
                <w:tcPr>
                  <w:tcW w:w="3281" w:type="dxa"/>
                  <w:tcBorders>
                    <w:tl2br w:val="nil"/>
                    <w:tr2bl w:val="nil"/>
                  </w:tcBorders>
                  <w:shd w:val="clear" w:color="auto" w:fill="auto"/>
                  <w:vAlign w:val="center"/>
                </w:tcPr>
                <w:p w14:paraId="24CF3CC0">
                  <w:pPr>
                    <w:pStyle w:val="24"/>
                    <w:bidi w:val="0"/>
                    <w:rPr>
                      <w:rFonts w:hint="default"/>
                      <w:lang w:val="en-US" w:eastAsia="zh-CN"/>
                    </w:rPr>
                  </w:pPr>
                  <w:r>
                    <w:rPr>
                      <w:rFonts w:hint="default"/>
                      <w:lang w:val="en-US" w:eastAsia="zh-CN"/>
                    </w:rPr>
                    <w:t xml:space="preserve">环境空气 总烃、甲烷和非甲烷总烃的测定 直接进样气相色谱法 </w:t>
                  </w:r>
                </w:p>
                <w:p w14:paraId="522A7609">
                  <w:pPr>
                    <w:pStyle w:val="24"/>
                    <w:bidi w:val="0"/>
                    <w:rPr>
                      <w:rFonts w:hint="eastAsia"/>
                      <w:lang w:val="en-US" w:eastAsia="zh-CN"/>
                    </w:rPr>
                  </w:pPr>
                  <w:r>
                    <w:rPr>
                      <w:rFonts w:hint="default"/>
                      <w:lang w:val="en-US" w:eastAsia="zh-CN"/>
                    </w:rPr>
                    <w:t>HJ 604-2017</w:t>
                  </w:r>
                </w:p>
              </w:tc>
              <w:tc>
                <w:tcPr>
                  <w:tcW w:w="2850" w:type="dxa"/>
                  <w:tcBorders>
                    <w:tl2br w:val="nil"/>
                    <w:tr2bl w:val="nil"/>
                  </w:tcBorders>
                  <w:shd w:val="clear" w:color="auto" w:fill="auto"/>
                  <w:vAlign w:val="center"/>
                </w:tcPr>
                <w:p w14:paraId="36F44732">
                  <w:pPr>
                    <w:pStyle w:val="24"/>
                    <w:bidi w:val="0"/>
                    <w:rPr>
                      <w:rFonts w:hint="default"/>
                      <w:lang w:val="en-US" w:eastAsia="zh-CN"/>
                    </w:rPr>
                  </w:pPr>
                  <w:r>
                    <w:rPr>
                      <w:rFonts w:hint="default"/>
                      <w:lang w:val="en-US" w:eastAsia="zh-CN"/>
                    </w:rPr>
                    <w:t>气相色谱仪</w:t>
                  </w:r>
                  <w:r>
                    <w:rPr>
                      <w:rFonts w:hint="eastAsia"/>
                      <w:lang w:val="en-US" w:eastAsia="zh-CN"/>
                    </w:rPr>
                    <w:t>/</w:t>
                  </w:r>
                  <w:r>
                    <w:rPr>
                      <w:rFonts w:hint="default"/>
                      <w:lang w:val="en-US" w:eastAsia="zh-CN"/>
                    </w:rPr>
                    <w:t>F60</w:t>
                  </w:r>
                </w:p>
                <w:p w14:paraId="0E154878">
                  <w:pPr>
                    <w:pStyle w:val="24"/>
                    <w:bidi w:val="0"/>
                    <w:rPr>
                      <w:rFonts w:hint="default"/>
                      <w:lang w:val="en-US" w:eastAsia="zh-CN"/>
                    </w:rPr>
                  </w:pPr>
                  <w:r>
                    <w:rPr>
                      <w:rFonts w:hint="default"/>
                      <w:lang w:val="en-US" w:eastAsia="zh-CN"/>
                    </w:rPr>
                    <w:t>(ZJAH-02-004)</w:t>
                  </w:r>
                </w:p>
              </w:tc>
              <w:tc>
                <w:tcPr>
                  <w:tcW w:w="1181" w:type="dxa"/>
                  <w:tcBorders>
                    <w:tl2br w:val="nil"/>
                    <w:tr2bl w:val="nil"/>
                  </w:tcBorders>
                  <w:shd w:val="clear" w:color="auto" w:fill="auto"/>
                  <w:vAlign w:val="center"/>
                </w:tcPr>
                <w:p w14:paraId="01EDF177">
                  <w:pPr>
                    <w:pStyle w:val="24"/>
                    <w:bidi w:val="0"/>
                    <w:rPr>
                      <w:rFonts w:hint="eastAsia"/>
                      <w:lang w:val="en-US" w:eastAsia="zh-CN"/>
                    </w:rPr>
                  </w:pPr>
                  <w:r>
                    <w:rPr>
                      <w:rFonts w:hint="eastAsia"/>
                      <w:lang w:val="en-US" w:eastAsia="zh-CN"/>
                    </w:rPr>
                    <w:t>0.07mg/m3</w:t>
                  </w:r>
                </w:p>
              </w:tc>
            </w:tr>
            <w:tr w14:paraId="09B96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4" w:hRule="atLeast"/>
                <w:jc w:val="center"/>
              </w:trPr>
              <w:tc>
                <w:tcPr>
                  <w:tcW w:w="510" w:type="dxa"/>
                  <w:vMerge w:val="restart"/>
                  <w:tcBorders>
                    <w:tl2br w:val="nil"/>
                    <w:tr2bl w:val="nil"/>
                  </w:tcBorders>
                  <w:shd w:val="clear" w:color="auto" w:fill="auto"/>
                  <w:vAlign w:val="center"/>
                </w:tcPr>
                <w:p w14:paraId="70522E7C">
                  <w:pPr>
                    <w:pStyle w:val="24"/>
                    <w:bidi w:val="0"/>
                    <w:rPr>
                      <w:rFonts w:hint="eastAsia"/>
                      <w:lang w:val="en-US" w:eastAsia="zh-CN"/>
                    </w:rPr>
                  </w:pPr>
                  <w:r>
                    <w:rPr>
                      <w:rFonts w:hint="eastAsia"/>
                      <w:lang w:val="en-US" w:eastAsia="zh-CN"/>
                    </w:rPr>
                    <w:t>噪声</w:t>
                  </w:r>
                </w:p>
              </w:tc>
              <w:tc>
                <w:tcPr>
                  <w:tcW w:w="856" w:type="dxa"/>
                  <w:tcBorders>
                    <w:tl2br w:val="nil"/>
                    <w:tr2bl w:val="nil"/>
                  </w:tcBorders>
                  <w:shd w:val="clear" w:color="auto" w:fill="auto"/>
                  <w:vAlign w:val="center"/>
                </w:tcPr>
                <w:p w14:paraId="579A5F54">
                  <w:pPr>
                    <w:pStyle w:val="24"/>
                    <w:bidi w:val="0"/>
                    <w:rPr>
                      <w:rFonts w:hint="eastAsia"/>
                      <w:lang w:val="en-US" w:eastAsia="zh-CN"/>
                    </w:rPr>
                  </w:pPr>
                  <w:r>
                    <w:rPr>
                      <w:rFonts w:hint="eastAsia"/>
                      <w:lang w:val="en-US" w:eastAsia="zh-CN"/>
                    </w:rPr>
                    <w:t>工业企业厂界环境噪声</w:t>
                  </w:r>
                </w:p>
              </w:tc>
              <w:tc>
                <w:tcPr>
                  <w:tcW w:w="3281" w:type="dxa"/>
                  <w:tcBorders>
                    <w:tl2br w:val="nil"/>
                    <w:tr2bl w:val="nil"/>
                  </w:tcBorders>
                  <w:shd w:val="clear" w:color="auto" w:fill="auto"/>
                  <w:vAlign w:val="center"/>
                </w:tcPr>
                <w:p w14:paraId="5D82CE6A">
                  <w:pPr>
                    <w:pStyle w:val="24"/>
                    <w:bidi w:val="0"/>
                    <w:rPr>
                      <w:rFonts w:hint="default"/>
                      <w:lang w:val="en-US" w:eastAsia="zh-CN"/>
                    </w:rPr>
                  </w:pPr>
                  <w:r>
                    <w:rPr>
                      <w:rFonts w:hint="default"/>
                      <w:lang w:val="en-US" w:eastAsia="zh-CN"/>
                    </w:rPr>
                    <w:t>工业企业厂界环境噪声排放标准</w:t>
                  </w:r>
                </w:p>
                <w:p w14:paraId="4672DE72">
                  <w:pPr>
                    <w:pStyle w:val="24"/>
                    <w:bidi w:val="0"/>
                    <w:rPr>
                      <w:rFonts w:hint="default"/>
                      <w:lang w:val="en-US" w:eastAsia="zh-CN"/>
                    </w:rPr>
                  </w:pPr>
                  <w:r>
                    <w:rPr>
                      <w:rFonts w:hint="default"/>
                      <w:lang w:val="en-US" w:eastAsia="zh-CN"/>
                    </w:rPr>
                    <w:t>GB 12348-2008</w:t>
                  </w:r>
                </w:p>
              </w:tc>
              <w:tc>
                <w:tcPr>
                  <w:tcW w:w="2850" w:type="dxa"/>
                  <w:tcBorders>
                    <w:tl2br w:val="nil"/>
                    <w:tr2bl w:val="nil"/>
                  </w:tcBorders>
                  <w:shd w:val="clear" w:color="auto" w:fill="auto"/>
                  <w:vAlign w:val="center"/>
                </w:tcPr>
                <w:p w14:paraId="5E5D44EA">
                  <w:pPr>
                    <w:pStyle w:val="24"/>
                    <w:bidi w:val="0"/>
                    <w:rPr>
                      <w:rFonts w:hint="default"/>
                      <w:lang w:val="en-US" w:eastAsia="zh-CN"/>
                    </w:rPr>
                  </w:pPr>
                  <w:r>
                    <w:rPr>
                      <w:rFonts w:hint="default"/>
                      <w:lang w:val="en-US" w:eastAsia="zh-CN"/>
                    </w:rPr>
                    <w:t>多功能声级计</w:t>
                  </w:r>
                  <w:r>
                    <w:rPr>
                      <w:rFonts w:hint="eastAsia"/>
                      <w:lang w:val="en-US" w:eastAsia="zh-CN"/>
                    </w:rPr>
                    <w:t>/</w:t>
                  </w:r>
                  <w:r>
                    <w:rPr>
                      <w:rFonts w:hint="default"/>
                      <w:lang w:val="en-US" w:eastAsia="zh-CN"/>
                    </w:rPr>
                    <w:t>AWA</w:t>
                  </w:r>
                  <w:r>
                    <w:rPr>
                      <w:rFonts w:hint="eastAsia"/>
                      <w:lang w:val="en-US" w:eastAsia="zh-CN"/>
                    </w:rPr>
                    <w:t>5688</w:t>
                  </w:r>
                </w:p>
                <w:p w14:paraId="7FEA7DD6">
                  <w:pPr>
                    <w:pStyle w:val="24"/>
                    <w:bidi w:val="0"/>
                    <w:rPr>
                      <w:rFonts w:hint="default"/>
                      <w:lang w:val="en-US" w:eastAsia="zh-CN"/>
                    </w:rPr>
                  </w:pPr>
                  <w:r>
                    <w:rPr>
                      <w:rFonts w:hint="default"/>
                      <w:lang w:val="en-US" w:eastAsia="zh-CN"/>
                    </w:rPr>
                    <w:t>(ZJAH-01-0</w:t>
                  </w:r>
                  <w:r>
                    <w:rPr>
                      <w:rFonts w:hint="eastAsia"/>
                      <w:lang w:val="en-US" w:eastAsia="zh-CN"/>
                    </w:rPr>
                    <w:t>32</w:t>
                  </w:r>
                  <w:r>
                    <w:rPr>
                      <w:rFonts w:hint="default"/>
                      <w:lang w:val="en-US" w:eastAsia="zh-CN"/>
                    </w:rPr>
                    <w:t>)</w:t>
                  </w:r>
                </w:p>
              </w:tc>
              <w:tc>
                <w:tcPr>
                  <w:tcW w:w="1181" w:type="dxa"/>
                  <w:tcBorders>
                    <w:tl2br w:val="nil"/>
                    <w:tr2bl w:val="nil"/>
                  </w:tcBorders>
                  <w:shd w:val="clear" w:color="auto" w:fill="auto"/>
                  <w:vAlign w:val="center"/>
                </w:tcPr>
                <w:p w14:paraId="15259654">
                  <w:pPr>
                    <w:pStyle w:val="24"/>
                    <w:bidi w:val="0"/>
                    <w:rPr>
                      <w:rFonts w:hint="eastAsia"/>
                      <w:lang w:val="en-US" w:eastAsia="zh-CN"/>
                    </w:rPr>
                  </w:pPr>
                  <w:r>
                    <w:rPr>
                      <w:rFonts w:hint="eastAsia"/>
                      <w:lang w:val="en-US" w:eastAsia="zh-CN"/>
                    </w:rPr>
                    <w:t>/</w:t>
                  </w:r>
                </w:p>
              </w:tc>
            </w:tr>
            <w:tr w14:paraId="24811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2" w:hRule="atLeast"/>
                <w:jc w:val="center"/>
              </w:trPr>
              <w:tc>
                <w:tcPr>
                  <w:tcW w:w="510" w:type="dxa"/>
                  <w:vMerge w:val="continue"/>
                  <w:tcBorders>
                    <w:tl2br w:val="nil"/>
                    <w:tr2bl w:val="nil"/>
                  </w:tcBorders>
                  <w:shd w:val="clear" w:color="auto" w:fill="auto"/>
                  <w:vAlign w:val="center"/>
                </w:tcPr>
                <w:p w14:paraId="57FC1761">
                  <w:pPr>
                    <w:pStyle w:val="24"/>
                    <w:bidi w:val="0"/>
                    <w:rPr>
                      <w:rFonts w:hint="eastAsia"/>
                      <w:lang w:val="en-US" w:eastAsia="zh-CN"/>
                    </w:rPr>
                  </w:pPr>
                </w:p>
              </w:tc>
              <w:tc>
                <w:tcPr>
                  <w:tcW w:w="856" w:type="dxa"/>
                  <w:tcBorders>
                    <w:tl2br w:val="nil"/>
                    <w:tr2bl w:val="nil"/>
                  </w:tcBorders>
                  <w:shd w:val="clear" w:color="auto" w:fill="auto"/>
                  <w:vAlign w:val="center"/>
                </w:tcPr>
                <w:p w14:paraId="6A6BDF88">
                  <w:pPr>
                    <w:pStyle w:val="24"/>
                    <w:bidi w:val="0"/>
                    <w:rPr>
                      <w:rFonts w:hint="default"/>
                      <w:lang w:val="en-US" w:eastAsia="zh-CN"/>
                    </w:rPr>
                  </w:pPr>
                  <w:r>
                    <w:rPr>
                      <w:rFonts w:hint="eastAsia"/>
                      <w:lang w:val="en-US" w:eastAsia="zh-CN"/>
                    </w:rPr>
                    <w:t>环境噪声</w:t>
                  </w:r>
                </w:p>
              </w:tc>
              <w:tc>
                <w:tcPr>
                  <w:tcW w:w="3281" w:type="dxa"/>
                  <w:tcBorders>
                    <w:tl2br w:val="nil"/>
                    <w:tr2bl w:val="nil"/>
                  </w:tcBorders>
                  <w:shd w:val="clear" w:color="auto" w:fill="auto"/>
                  <w:vAlign w:val="center"/>
                </w:tcPr>
                <w:p w14:paraId="2377F1D1">
                  <w:pPr>
                    <w:pStyle w:val="24"/>
                    <w:bidi w:val="0"/>
                    <w:rPr>
                      <w:rFonts w:hint="default"/>
                      <w:lang w:val="en-US" w:eastAsia="zh-CN"/>
                    </w:rPr>
                  </w:pPr>
                  <w:r>
                    <w:rPr>
                      <w:rFonts w:hint="eastAsia"/>
                      <w:lang w:val="en-US" w:eastAsia="zh-CN"/>
                    </w:rPr>
                    <w:t>声环境质量标准 GB 3096-2008</w:t>
                  </w:r>
                </w:p>
              </w:tc>
              <w:tc>
                <w:tcPr>
                  <w:tcW w:w="2850" w:type="dxa"/>
                  <w:tcBorders>
                    <w:tl2br w:val="nil"/>
                    <w:tr2bl w:val="nil"/>
                  </w:tcBorders>
                  <w:shd w:val="clear" w:color="auto" w:fill="auto"/>
                  <w:vAlign w:val="center"/>
                </w:tcPr>
                <w:p w14:paraId="6AF02377">
                  <w:pPr>
                    <w:pStyle w:val="24"/>
                    <w:bidi w:val="0"/>
                    <w:rPr>
                      <w:rFonts w:hint="default"/>
                      <w:lang w:val="en-US" w:eastAsia="zh-CN"/>
                    </w:rPr>
                  </w:pPr>
                  <w:r>
                    <w:rPr>
                      <w:rFonts w:hint="default"/>
                      <w:lang w:val="en-US" w:eastAsia="zh-CN"/>
                    </w:rPr>
                    <w:t>多功能声级计</w:t>
                  </w:r>
                  <w:r>
                    <w:rPr>
                      <w:rFonts w:hint="eastAsia"/>
                      <w:lang w:val="en-US" w:eastAsia="zh-CN"/>
                    </w:rPr>
                    <w:t>/</w:t>
                  </w:r>
                  <w:r>
                    <w:rPr>
                      <w:rFonts w:hint="default"/>
                      <w:lang w:val="en-US" w:eastAsia="zh-CN"/>
                    </w:rPr>
                    <w:t>AWA</w:t>
                  </w:r>
                  <w:r>
                    <w:rPr>
                      <w:rFonts w:hint="eastAsia"/>
                      <w:lang w:val="en-US" w:eastAsia="zh-CN"/>
                    </w:rPr>
                    <w:t>5688</w:t>
                  </w:r>
                </w:p>
                <w:p w14:paraId="0DE7EAA3">
                  <w:pPr>
                    <w:pStyle w:val="24"/>
                    <w:bidi w:val="0"/>
                    <w:rPr>
                      <w:rFonts w:hint="default"/>
                      <w:lang w:val="en-US" w:eastAsia="zh-CN"/>
                    </w:rPr>
                  </w:pPr>
                  <w:r>
                    <w:rPr>
                      <w:rFonts w:hint="default"/>
                      <w:lang w:val="en-US" w:eastAsia="zh-CN"/>
                    </w:rPr>
                    <w:t>(ZJAH-01-0</w:t>
                  </w:r>
                  <w:r>
                    <w:rPr>
                      <w:rFonts w:hint="eastAsia"/>
                      <w:lang w:val="en-US" w:eastAsia="zh-CN"/>
                    </w:rPr>
                    <w:t>32</w:t>
                  </w:r>
                  <w:r>
                    <w:rPr>
                      <w:rFonts w:hint="default"/>
                      <w:lang w:val="en-US" w:eastAsia="zh-CN"/>
                    </w:rPr>
                    <w:t>)</w:t>
                  </w:r>
                </w:p>
              </w:tc>
              <w:tc>
                <w:tcPr>
                  <w:tcW w:w="1181" w:type="dxa"/>
                  <w:tcBorders>
                    <w:tl2br w:val="nil"/>
                    <w:tr2bl w:val="nil"/>
                  </w:tcBorders>
                  <w:shd w:val="clear" w:color="auto" w:fill="auto"/>
                  <w:vAlign w:val="center"/>
                </w:tcPr>
                <w:p w14:paraId="22413466">
                  <w:pPr>
                    <w:pStyle w:val="24"/>
                    <w:bidi w:val="0"/>
                    <w:rPr>
                      <w:rFonts w:hint="eastAsia"/>
                      <w:lang w:val="en-US" w:eastAsia="zh-CN"/>
                    </w:rPr>
                  </w:pPr>
                  <w:r>
                    <w:rPr>
                      <w:rFonts w:hint="eastAsia"/>
                      <w:lang w:val="en-US" w:eastAsia="zh-CN"/>
                    </w:rPr>
                    <w:t>/</w:t>
                  </w:r>
                </w:p>
              </w:tc>
            </w:tr>
          </w:tbl>
          <w:p w14:paraId="5FFFB8DD">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5.2人员资质</w:t>
            </w:r>
          </w:p>
          <w:p w14:paraId="556A04DF">
            <w:pPr>
              <w:keepNext w:val="0"/>
              <w:keepLines w:val="0"/>
              <w:suppressLineNumbers w:val="0"/>
              <w:spacing w:before="0" w:beforeAutospacing="0" w:after="0" w:afterAutospacing="0" w:line="360" w:lineRule="auto"/>
              <w:ind w:left="0" w:right="0" w:firstLine="480" w:firstLineChars="200"/>
              <w:rPr>
                <w:rFonts w:hint="default" w:cs="Times New Roman" w:asciiTheme="minorEastAsia" w:hAnsiTheme="minorEastAsia"/>
                <w:color w:val="000000" w:themeColor="text1"/>
                <w:sz w:val="24"/>
                <w:szCs w:val="32"/>
                <w14:textFill>
                  <w14:solidFill>
                    <w14:schemeClr w14:val="tx1"/>
                  </w14:solidFill>
                </w14:textFill>
              </w:rPr>
            </w:pPr>
            <w:r>
              <w:rPr>
                <w:rFonts w:hint="eastAsia" w:cs="Times New Roman" w:asciiTheme="minorEastAsia" w:hAnsiTheme="minorEastAsia"/>
                <w:color w:val="000000" w:themeColor="text1"/>
                <w:sz w:val="24"/>
                <w:szCs w:val="32"/>
                <w14:textFill>
                  <w14:solidFill>
                    <w14:schemeClr w14:val="tx1"/>
                  </w14:solidFill>
                </w14:textFill>
              </w:rPr>
              <w:t>本次参加验收监测的人员均经过考核并持有合格证书，监测能力能够满足本次验收监测需要。</w:t>
            </w:r>
          </w:p>
          <w:p w14:paraId="2FC026CB">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5.3气体监测分析过程中的质量保证和质量控制</w:t>
            </w:r>
          </w:p>
          <w:p w14:paraId="4862A414">
            <w:pPr>
              <w:keepNext w:val="0"/>
              <w:keepLines w:val="0"/>
              <w:suppressLineNumbers w:val="0"/>
              <w:bidi w:val="0"/>
              <w:spacing w:before="0" w:beforeAutospacing="0" w:after="0" w:afterAutospacing="0"/>
              <w:ind w:left="0" w:right="0"/>
              <w:rPr>
                <w:rFonts w:hint="default"/>
              </w:rPr>
            </w:pPr>
            <w:r>
              <w:rPr>
                <w:rFonts w:hint="default"/>
              </w:rPr>
              <w:t>（1）</w:t>
            </w:r>
            <w:r>
              <w:rPr>
                <w:rFonts w:hint="eastAsia"/>
              </w:rPr>
              <w:t>选择合适的方法</w:t>
            </w:r>
            <w:r>
              <w:rPr>
                <w:rFonts w:hint="default"/>
              </w:rPr>
              <w:t>尽量避免</w:t>
            </w:r>
            <w:r>
              <w:rPr>
                <w:rFonts w:hint="eastAsia"/>
              </w:rPr>
              <w:t>或减少</w:t>
            </w:r>
            <w:r>
              <w:rPr>
                <w:rFonts w:hint="default"/>
              </w:rPr>
              <w:t>被测排放物中共存污染物对</w:t>
            </w:r>
            <w:r>
              <w:rPr>
                <w:rFonts w:hint="eastAsia"/>
              </w:rPr>
              <w:t>目标化合物的</w:t>
            </w:r>
            <w:r>
              <w:rPr>
                <w:rFonts w:hint="default"/>
              </w:rPr>
              <w:t>干扰</w:t>
            </w:r>
            <w:r>
              <w:rPr>
                <w:rFonts w:hint="eastAsia"/>
              </w:rPr>
              <w:t>。方法的检出限应满足要求。</w:t>
            </w:r>
          </w:p>
          <w:p w14:paraId="5B476FEA">
            <w:pPr>
              <w:keepNext w:val="0"/>
              <w:keepLines w:val="0"/>
              <w:suppressLineNumbers w:val="0"/>
              <w:bidi w:val="0"/>
              <w:spacing w:before="0" w:beforeAutospacing="0" w:after="0" w:afterAutospacing="0"/>
              <w:ind w:left="0" w:right="0"/>
              <w:rPr>
                <w:rFonts w:hint="default"/>
              </w:rPr>
            </w:pPr>
            <w:r>
              <w:rPr>
                <w:rFonts w:hint="eastAsia"/>
              </w:rPr>
              <w:t>（2）</w:t>
            </w:r>
            <w:r>
              <w:rPr>
                <w:rFonts w:hint="default"/>
              </w:rPr>
              <w:t>被测排放物的浓度在仪器量程的有效范围。</w:t>
            </w:r>
          </w:p>
          <w:p w14:paraId="0AEFFFDC">
            <w:pPr>
              <w:keepNext w:val="0"/>
              <w:keepLines w:val="0"/>
              <w:suppressLineNumbers w:val="0"/>
              <w:bidi w:val="0"/>
              <w:spacing w:before="0" w:beforeAutospacing="0" w:after="0" w:afterAutospacing="0"/>
              <w:ind w:left="0" w:right="0"/>
              <w:rPr>
                <w:rFonts w:hint="eastAsia"/>
              </w:rPr>
            </w:pPr>
            <w:r>
              <w:rPr>
                <w:rFonts w:hint="eastAsia"/>
              </w:rPr>
              <w:t>（3）烟尘采样器在进入现场前应对采样器流量计等进行校核。</w:t>
            </w:r>
            <w:r>
              <w:rPr>
                <w:rFonts w:hint="default"/>
              </w:rPr>
              <w:t>烟气监测（分析）仪器在监测前按监测因子分别用标准气体和流量计对其进行校核（标定），在监测时</w:t>
            </w:r>
            <w:r>
              <w:rPr>
                <w:rFonts w:hint="eastAsia"/>
              </w:rPr>
              <w:t>应</w:t>
            </w:r>
            <w:r>
              <w:rPr>
                <w:rFonts w:hint="default"/>
              </w:rPr>
              <w:t>保证其采样流量</w:t>
            </w:r>
            <w:r>
              <w:rPr>
                <w:rFonts w:hint="eastAsia"/>
              </w:rPr>
              <w:t>的准确。</w:t>
            </w:r>
          </w:p>
          <w:p w14:paraId="362F6060">
            <w:pPr>
              <w:keepNext w:val="0"/>
              <w:keepLines w:val="0"/>
              <w:suppressLineNumbers w:val="0"/>
              <w:spacing w:before="0" w:beforeAutospacing="0" w:after="0" w:afterAutospacing="0" w:line="360" w:lineRule="auto"/>
              <w:ind w:left="0" w:right="0"/>
              <w:rPr>
                <w:rFonts w:hint="default" w:cs="Times New Roman" w:asciiTheme="minorEastAsia" w:hAnsiTheme="minorEastAsia"/>
                <w:b/>
                <w:color w:val="000000" w:themeColor="text1"/>
                <w:sz w:val="24"/>
                <w:szCs w:val="32"/>
                <w14:textFill>
                  <w14:solidFill>
                    <w14:schemeClr w14:val="tx1"/>
                  </w14:solidFill>
                </w14:textFill>
              </w:rPr>
            </w:pPr>
            <w:r>
              <w:rPr>
                <w:rFonts w:hint="eastAsia" w:cs="Times New Roman" w:asciiTheme="minorEastAsia" w:hAnsiTheme="minorEastAsia"/>
                <w:b/>
                <w:color w:val="000000" w:themeColor="text1"/>
                <w:sz w:val="24"/>
                <w:szCs w:val="32"/>
                <w14:textFill>
                  <w14:solidFill>
                    <w14:schemeClr w14:val="tx1"/>
                  </w14:solidFill>
                </w14:textFill>
              </w:rPr>
              <w:t>5.4噪声监测分析过程中的质量保证和质量控制</w:t>
            </w:r>
          </w:p>
          <w:p w14:paraId="799133BC">
            <w:pPr>
              <w:keepNext w:val="0"/>
              <w:keepLines w:val="0"/>
              <w:suppressLineNumbers w:val="0"/>
              <w:bidi w:val="0"/>
              <w:spacing w:before="0" w:beforeAutospacing="0" w:after="0" w:afterAutospacing="0"/>
              <w:ind w:left="0" w:right="0"/>
              <w:rPr>
                <w:rFonts w:hint="eastAsia" w:cs="Times New Roman" w:asciiTheme="minorEastAsia" w:hAnsiTheme="minorEastAsia"/>
                <w:color w:val="000000" w:themeColor="text1"/>
                <w:szCs w:val="32"/>
                <w14:textFill>
                  <w14:solidFill>
                    <w14:schemeClr w14:val="tx1"/>
                  </w14:solidFill>
                </w14:textFill>
              </w:rPr>
            </w:pPr>
            <w:r>
              <w:rPr>
                <w:rFonts w:hint="eastAsia"/>
              </w:rPr>
              <w:t>测量仪器和声校准器应在检定规定的有效期限内使用；监测人员应持证上岗；测量前后在测量的环境中用声校准器校准测量仪器，示值偏差不得大于0.5dB，否则，本次测量无效，重新校准测量仪器，重新进行监测；测量时传声器加防风罩；测量时记录影响测量结果的噪声源。</w:t>
            </w:r>
          </w:p>
          <w:p w14:paraId="26E0C40E">
            <w:pPr>
              <w:keepNext w:val="0"/>
              <w:keepLines w:val="0"/>
              <w:widowControl/>
              <w:suppressLineNumbers w:val="0"/>
              <w:adjustRightInd w:val="0"/>
              <w:snapToGrid w:val="0"/>
              <w:spacing w:before="0" w:beforeAutospacing="0" w:after="0" w:afterAutospacing="0" w:line="360" w:lineRule="auto"/>
              <w:ind w:left="0" w:right="0"/>
              <w:jc w:val="left"/>
              <w:rPr>
                <w:rFonts w:hint="default" w:ascii="宋体" w:hAnsi="宋体" w:eastAsia="宋体" w:cs="宋体"/>
                <w:b/>
                <w:kern w:val="0"/>
                <w:sz w:val="24"/>
                <w:szCs w:val="24"/>
              </w:rPr>
            </w:pPr>
            <w:r>
              <w:rPr>
                <w:rFonts w:hint="eastAsia" w:ascii="宋体" w:hAnsi="宋体" w:eastAsia="宋体" w:cs="宋体"/>
                <w:b/>
                <w:kern w:val="0"/>
                <w:sz w:val="24"/>
                <w:szCs w:val="24"/>
                <w:lang w:val="en-US" w:eastAsia="zh-CN"/>
              </w:rPr>
              <w:t>5.5</w:t>
            </w:r>
            <w:r>
              <w:rPr>
                <w:rFonts w:hint="eastAsia" w:ascii="宋体" w:hAnsi="宋体" w:eastAsia="宋体" w:cs="宋体"/>
                <w:b/>
                <w:kern w:val="0"/>
                <w:sz w:val="24"/>
                <w:szCs w:val="24"/>
              </w:rPr>
              <w:t>水质监测分析过程中的质量保证和质量控制</w:t>
            </w:r>
          </w:p>
          <w:p w14:paraId="2687C2A3">
            <w:pPr>
              <w:keepNext w:val="0"/>
              <w:keepLines w:val="0"/>
              <w:suppressLineNumbers w:val="0"/>
              <w:bidi w:val="0"/>
              <w:spacing w:before="0" w:beforeAutospacing="0" w:after="0" w:afterAutospacing="0"/>
              <w:ind w:left="0" w:right="0"/>
              <w:rPr>
                <w:rFonts w:hint="default" w:ascii="Times New Roman" w:hAnsi="Times New Roman" w:eastAsia="仿宋_GB2312" w:cs="Times New Roman"/>
                <w:color w:val="000000"/>
                <w:szCs w:val="24"/>
              </w:rPr>
            </w:pPr>
            <w:r>
              <w:rPr>
                <w:rFonts w:hint="eastAsia"/>
              </w:rPr>
              <w:t>水样的采集、运输、保存、实验室分析和数据计算的全过程均按《环境水质监测质量保证手册》（第四版）的要求进行。采样过程中采集了一定比例的平行样；实验室分析过程使用了标准物质、采用了空白试验、平行样测定、加标回收率测定等，严格按照实验室内分析相关质控措施执行。</w:t>
            </w:r>
          </w:p>
          <w:p w14:paraId="5EF7E0FD">
            <w:pPr>
              <w:keepNext w:val="0"/>
              <w:keepLines w:val="0"/>
              <w:suppressLineNumbers w:val="0"/>
              <w:spacing w:before="0" w:beforeAutospacing="0" w:after="0" w:afterAutospacing="0" w:line="360" w:lineRule="auto"/>
              <w:ind w:left="0" w:leftChars="0" w:right="0" w:firstLine="0" w:firstLineChars="0"/>
              <w:rPr>
                <w:rFonts w:hint="eastAsia" w:cs="Times New Roman" w:asciiTheme="minorEastAsia" w:hAnsiTheme="minorEastAsia" w:eastAsiaTheme="minorEastAsia"/>
                <w:color w:val="000000" w:themeColor="text1"/>
                <w:sz w:val="24"/>
                <w:szCs w:val="32"/>
                <w:lang w:eastAsia="zh-CN"/>
                <w14:textFill>
                  <w14:solidFill>
                    <w14:schemeClr w14:val="tx1"/>
                  </w14:solidFill>
                </w14:textFill>
              </w:rPr>
            </w:pPr>
            <w:r>
              <w:rPr>
                <w:rFonts w:hint="eastAsia" w:cs="Times New Roman" w:asciiTheme="minorEastAsia" w:hAnsiTheme="minorEastAsia" w:eastAsiaTheme="minorEastAsia"/>
                <w:color w:val="000000" w:themeColor="text1"/>
                <w:sz w:val="24"/>
                <w:szCs w:val="32"/>
                <w:lang w:eastAsia="zh-CN"/>
                <w14:textFill>
                  <w14:solidFill>
                    <w14:schemeClr w14:val="tx1"/>
                  </w14:solidFill>
                </w14:textFill>
              </w:rPr>
              <w:drawing>
                <wp:inline distT="0" distB="0" distL="114300" distR="114300">
                  <wp:extent cx="2491105" cy="3322320"/>
                  <wp:effectExtent l="0" t="0" r="4445" b="11430"/>
                  <wp:docPr id="7" name="图片 7" descr="强力型王祥 2025_12_22 16_30_00 自定义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强力型王祥 2025_12_22 16_30_00 自定义水印"/>
                          <pic:cNvPicPr>
                            <a:picLocks noChangeAspect="1"/>
                          </pic:cNvPicPr>
                        </pic:nvPicPr>
                        <pic:blipFill>
                          <a:blip r:embed="rId19"/>
                          <a:stretch>
                            <a:fillRect/>
                          </a:stretch>
                        </pic:blipFill>
                        <pic:spPr>
                          <a:xfrm>
                            <a:off x="0" y="0"/>
                            <a:ext cx="2491105" cy="3322320"/>
                          </a:xfrm>
                          <a:prstGeom prst="rect">
                            <a:avLst/>
                          </a:prstGeom>
                        </pic:spPr>
                      </pic:pic>
                    </a:graphicData>
                  </a:graphic>
                </wp:inline>
              </w:drawing>
            </w:r>
            <w:r>
              <w:rPr>
                <w:rFonts w:hint="eastAsia" w:cs="Times New Roman" w:asciiTheme="minorEastAsia" w:hAnsiTheme="minorEastAsia"/>
                <w:color w:val="000000" w:themeColor="text1"/>
                <w:sz w:val="24"/>
                <w:szCs w:val="32"/>
                <w:lang w:val="en-US" w:eastAsia="zh-CN"/>
                <w14:textFill>
                  <w14:solidFill>
                    <w14:schemeClr w14:val="tx1"/>
                  </w14:solidFill>
                </w14:textFill>
              </w:rPr>
              <w:t xml:space="preserve">     </w:t>
            </w:r>
            <w:r>
              <w:rPr>
                <w:rFonts w:hint="eastAsia" w:cs="Times New Roman" w:asciiTheme="minorEastAsia" w:hAnsiTheme="minorEastAsia" w:eastAsiaTheme="minorEastAsia"/>
                <w:color w:val="000000" w:themeColor="text1"/>
                <w:sz w:val="24"/>
                <w:szCs w:val="32"/>
                <w:lang w:eastAsia="zh-CN"/>
                <w14:textFill>
                  <w14:solidFill>
                    <w14:schemeClr w14:val="tx1"/>
                  </w14:solidFill>
                </w14:textFill>
              </w:rPr>
              <w:drawing>
                <wp:inline distT="0" distB="0" distL="114300" distR="114300">
                  <wp:extent cx="2491740" cy="3323590"/>
                  <wp:effectExtent l="0" t="0" r="3810" b="10160"/>
                  <wp:docPr id="8" name="图片 8" descr="许超 2025_12_23 10_34_00 无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许超 2025_12_23 10_34_00 无水印"/>
                          <pic:cNvPicPr>
                            <a:picLocks noChangeAspect="1"/>
                          </pic:cNvPicPr>
                        </pic:nvPicPr>
                        <pic:blipFill>
                          <a:blip r:embed="rId20"/>
                          <a:stretch>
                            <a:fillRect/>
                          </a:stretch>
                        </pic:blipFill>
                        <pic:spPr>
                          <a:xfrm>
                            <a:off x="0" y="0"/>
                            <a:ext cx="2491740" cy="3323590"/>
                          </a:xfrm>
                          <a:prstGeom prst="rect">
                            <a:avLst/>
                          </a:prstGeom>
                        </pic:spPr>
                      </pic:pic>
                    </a:graphicData>
                  </a:graphic>
                </wp:inline>
              </w:drawing>
            </w:r>
          </w:p>
          <w:p w14:paraId="0E5D6057">
            <w:pPr>
              <w:keepNext w:val="0"/>
              <w:keepLines w:val="0"/>
              <w:suppressLineNumbers w:val="0"/>
              <w:spacing w:before="0" w:beforeAutospacing="0" w:after="0" w:afterAutospacing="0" w:line="360" w:lineRule="auto"/>
              <w:ind w:left="0" w:leftChars="0" w:right="0" w:firstLine="0" w:firstLineChars="0"/>
              <w:rPr>
                <w:rFonts w:hint="eastAsia" w:cs="Times New Roman" w:asciiTheme="minorEastAsia" w:hAnsiTheme="minorEastAsia" w:eastAsiaTheme="minorEastAsia"/>
                <w:color w:val="000000" w:themeColor="text1"/>
                <w:sz w:val="24"/>
                <w:szCs w:val="32"/>
                <w:lang w:eastAsia="zh-CN"/>
                <w14:textFill>
                  <w14:solidFill>
                    <w14:schemeClr w14:val="tx1"/>
                  </w14:solidFill>
                </w14:textFill>
              </w:rPr>
            </w:pPr>
            <w:r>
              <w:rPr>
                <w:rFonts w:hint="eastAsia" w:cs="Times New Roman" w:asciiTheme="minorEastAsia" w:hAnsiTheme="minorEastAsia" w:eastAsiaTheme="minorEastAsia"/>
                <w:color w:val="000000" w:themeColor="text1"/>
                <w:sz w:val="24"/>
                <w:szCs w:val="32"/>
                <w:lang w:eastAsia="zh-CN"/>
                <w14:textFill>
                  <w14:solidFill>
                    <w14:schemeClr w14:val="tx1"/>
                  </w14:solidFill>
                </w14:textFill>
              </w:rPr>
              <w:drawing>
                <wp:inline distT="0" distB="0" distL="114300" distR="114300">
                  <wp:extent cx="2672715" cy="3564890"/>
                  <wp:effectExtent l="0" t="0" r="13335" b="16510"/>
                  <wp:docPr id="9" name="图片 9" descr="夏陈真 2026_02_04 08_58_14 自定义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夏陈真 2026_02_04 08_58_14 自定义水印"/>
                          <pic:cNvPicPr>
                            <a:picLocks noChangeAspect="1"/>
                          </pic:cNvPicPr>
                        </pic:nvPicPr>
                        <pic:blipFill>
                          <a:blip r:embed="rId21"/>
                          <a:stretch>
                            <a:fillRect/>
                          </a:stretch>
                        </pic:blipFill>
                        <pic:spPr>
                          <a:xfrm>
                            <a:off x="0" y="0"/>
                            <a:ext cx="2672715" cy="3564890"/>
                          </a:xfrm>
                          <a:prstGeom prst="rect">
                            <a:avLst/>
                          </a:prstGeom>
                        </pic:spPr>
                      </pic:pic>
                    </a:graphicData>
                  </a:graphic>
                </wp:inline>
              </w:drawing>
            </w:r>
            <w:r>
              <w:rPr>
                <w:rFonts w:hint="eastAsia" w:cs="Times New Roman" w:asciiTheme="minorEastAsia" w:hAnsiTheme="minorEastAsia"/>
                <w:color w:val="000000" w:themeColor="text1"/>
                <w:sz w:val="24"/>
                <w:szCs w:val="32"/>
                <w:lang w:val="en-US" w:eastAsia="zh-CN"/>
                <w14:textFill>
                  <w14:solidFill>
                    <w14:schemeClr w14:val="tx1"/>
                  </w14:solidFill>
                </w14:textFill>
              </w:rPr>
              <w:t xml:space="preserve">  </w:t>
            </w:r>
            <w:r>
              <w:rPr>
                <w:rFonts w:hint="eastAsia" w:cs="Times New Roman" w:asciiTheme="minorEastAsia" w:hAnsiTheme="minorEastAsia" w:eastAsiaTheme="minorEastAsia"/>
                <w:color w:val="000000" w:themeColor="text1"/>
                <w:sz w:val="24"/>
                <w:szCs w:val="32"/>
                <w:lang w:eastAsia="zh-CN"/>
                <w14:textFill>
                  <w14:solidFill>
                    <w14:schemeClr w14:val="tx1"/>
                  </w14:solidFill>
                </w14:textFill>
              </w:rPr>
              <w:drawing>
                <wp:inline distT="0" distB="0" distL="114300" distR="114300">
                  <wp:extent cx="2678430" cy="3572510"/>
                  <wp:effectExtent l="0" t="0" r="7620" b="8890"/>
                  <wp:docPr id="10" name="图片 10" descr="夏陈真 2026_02_03 22_55_54 自定义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夏陈真 2026_02_03 22_55_54 自定义水印"/>
                          <pic:cNvPicPr>
                            <a:picLocks noChangeAspect="1"/>
                          </pic:cNvPicPr>
                        </pic:nvPicPr>
                        <pic:blipFill>
                          <a:blip r:embed="rId22"/>
                          <a:stretch>
                            <a:fillRect/>
                          </a:stretch>
                        </pic:blipFill>
                        <pic:spPr>
                          <a:xfrm>
                            <a:off x="0" y="0"/>
                            <a:ext cx="2678430" cy="3572510"/>
                          </a:xfrm>
                          <a:prstGeom prst="rect">
                            <a:avLst/>
                          </a:prstGeom>
                        </pic:spPr>
                      </pic:pic>
                    </a:graphicData>
                  </a:graphic>
                </wp:inline>
              </w:drawing>
            </w:r>
          </w:p>
        </w:tc>
      </w:tr>
    </w:tbl>
    <w:p w14:paraId="624109BD">
      <w:pPr>
        <w:widowControl/>
        <w:adjustRightInd w:val="0"/>
        <w:snapToGrid w:val="0"/>
        <w:spacing w:line="360" w:lineRule="auto"/>
        <w:jc w:val="left"/>
        <w:rPr>
          <w:rFonts w:ascii="Tahoma" w:hAnsi="Tahoma" w:eastAsia="仿宋_GB2312" w:cs="Times New Roman"/>
          <w:b/>
          <w:color w:val="000000"/>
          <w:kern w:val="0"/>
          <w:sz w:val="24"/>
          <w:szCs w:val="24"/>
        </w:rPr>
      </w:pPr>
    </w:p>
    <w:p w14:paraId="3EED221C">
      <w:pPr>
        <w:pStyle w:val="2"/>
        <w:bidi w:val="0"/>
      </w:pPr>
      <w:r>
        <w:t>表</w:t>
      </w:r>
      <w:r>
        <w:rPr>
          <w:rFonts w:hint="eastAsia"/>
        </w:rPr>
        <w:t>六</w:t>
      </w:r>
    </w:p>
    <w:tbl>
      <w:tblPr>
        <w:tblStyle w:val="19"/>
        <w:tblW w:w="89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080E8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73" w:hRule="atLeast"/>
          <w:jc w:val="center"/>
        </w:trPr>
        <w:tc>
          <w:tcPr>
            <w:tcW w:w="8924" w:type="dxa"/>
          </w:tcPr>
          <w:p w14:paraId="42D682B6">
            <w:pPr>
              <w:keepNext w:val="0"/>
              <w:keepLines w:val="0"/>
              <w:widowControl/>
              <w:suppressLineNumbers w:val="0"/>
              <w:adjustRightInd w:val="0"/>
              <w:snapToGrid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验收监测内容：</w:t>
            </w:r>
          </w:p>
          <w:p w14:paraId="30BEFFED">
            <w:pPr>
              <w:keepNext w:val="0"/>
              <w:keepLines w:val="0"/>
              <w:widowControl/>
              <w:suppressLineNumbers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cs="Times New Roman"/>
                <w:sz w:val="24"/>
                <w:szCs w:val="32"/>
              </w:rPr>
              <w:t>按照本项目环评及批复的要求，根据本项目的具体情况，结合现场勘查，编制了验收监测实施方案，并</w:t>
            </w:r>
            <w:r>
              <w:rPr>
                <w:rFonts w:hint="eastAsia" w:ascii="Times New Roman" w:hAnsi="Times New Roman" w:eastAsia="宋体" w:cs="Times New Roman"/>
                <w:sz w:val="24"/>
                <w:szCs w:val="32"/>
                <w:highlight w:val="none"/>
              </w:rPr>
              <w:t>于</w:t>
            </w:r>
            <w:r>
              <w:rPr>
                <w:rFonts w:hint="eastAsia" w:ascii="Times New Roman" w:hAnsi="Times New Roman" w:eastAsia="宋体" w:cs="Times New Roman"/>
                <w:sz w:val="24"/>
                <w:szCs w:val="32"/>
                <w:highlight w:val="none"/>
                <w:lang w:val="en-US" w:eastAsia="zh-CN"/>
              </w:rPr>
              <w:t>2025年12月22日-12月25日</w:t>
            </w:r>
            <w:r>
              <w:rPr>
                <w:rFonts w:hint="eastAsia" w:ascii="Times New Roman" w:hAnsi="Times New Roman" w:eastAsia="宋体" w:cs="Times New Roman"/>
                <w:sz w:val="24"/>
                <w:szCs w:val="32"/>
                <w:highlight w:val="none"/>
              </w:rPr>
              <w:t>对本</w:t>
            </w:r>
            <w:r>
              <w:rPr>
                <w:rFonts w:hint="eastAsia" w:ascii="Times New Roman" w:hAnsi="Times New Roman" w:eastAsia="宋体" w:cs="Times New Roman"/>
                <w:sz w:val="24"/>
                <w:szCs w:val="32"/>
              </w:rPr>
              <w:t>项目进行了现场监测及检查，验收监测内容如下：</w:t>
            </w:r>
          </w:p>
          <w:p w14:paraId="02B284F2">
            <w:pPr>
              <w:pStyle w:val="3"/>
              <w:suppressLineNumbers w:val="0"/>
              <w:bidi w:val="0"/>
              <w:spacing w:before="0" w:beforeAutospacing="0" w:after="0" w:afterAutospacing="0"/>
              <w:ind w:left="0" w:right="0"/>
              <w:rPr>
                <w:rFonts w:hint="default"/>
              </w:rPr>
            </w:pPr>
            <w:r>
              <w:rPr>
                <w:rFonts w:hint="eastAsia"/>
              </w:rPr>
              <w:t>6.</w:t>
            </w:r>
            <w:r>
              <w:rPr>
                <w:rFonts w:hint="default"/>
              </w:rPr>
              <w:t>1 废气监测</w:t>
            </w:r>
          </w:p>
          <w:p w14:paraId="740A0342">
            <w:pPr>
              <w:pStyle w:val="4"/>
              <w:suppressLineNumbers w:val="0"/>
              <w:bidi w:val="0"/>
              <w:spacing w:before="0" w:beforeAutospacing="0" w:after="0" w:afterAutospacing="0"/>
              <w:ind w:left="0" w:right="0"/>
              <w:rPr>
                <w:rFonts w:hint="eastAsia"/>
                <w:lang w:eastAsia="zh-CN"/>
              </w:rPr>
            </w:pPr>
            <w:r>
              <w:rPr>
                <w:rFonts w:hint="eastAsia"/>
                <w:lang w:val="en-US" w:eastAsia="zh-CN"/>
              </w:rPr>
              <w:t>6.1.</w:t>
            </w:r>
            <w:r>
              <w:rPr>
                <w:rFonts w:hint="eastAsia"/>
              </w:rPr>
              <w:t>1</w:t>
            </w:r>
            <w:r>
              <w:rPr>
                <w:rFonts w:hint="eastAsia"/>
                <w:lang w:eastAsia="zh-CN"/>
              </w:rPr>
              <w:t>废气监测</w:t>
            </w:r>
          </w:p>
          <w:p w14:paraId="32B87F92">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1</w:t>
            </w:r>
            <w:r>
              <w:rPr>
                <w:rFonts w:hint="eastAsia" w:ascii="Times New Roman" w:hAnsi="Times New Roman" w:eastAsia="宋体" w:cs="Times New Roman"/>
                <w:sz w:val="24"/>
                <w:szCs w:val="24"/>
                <w:lang w:eastAsia="zh-CN"/>
              </w:rPr>
              <w:t>）厂界无组织监测</w:t>
            </w:r>
          </w:p>
          <w:p w14:paraId="78FA2C68">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rPr>
            </w:pPr>
            <w:r>
              <w:rPr>
                <w:rFonts w:hint="eastAsia" w:ascii="Times New Roman" w:hAnsi="Times New Roman"/>
                <w:bCs/>
              </w:rPr>
              <w:t>验收监测期间，根据实际风向，在厂界外2~</w:t>
            </w:r>
            <w:r>
              <w:rPr>
                <w:rFonts w:hint="default" w:ascii="Times New Roman" w:hAnsi="Times New Roman"/>
                <w:bCs/>
              </w:rPr>
              <w:t>1</w:t>
            </w:r>
            <w:r>
              <w:rPr>
                <w:rFonts w:hint="eastAsia" w:ascii="Times New Roman" w:hAnsi="Times New Roman"/>
                <w:bCs/>
              </w:rPr>
              <w:t>0米范围内上风向设1个参照点（</w:t>
            </w:r>
            <w:r>
              <w:rPr>
                <w:rFonts w:hint="eastAsia"/>
                <w:szCs w:val="24"/>
                <w:lang w:val="en-US" w:eastAsia="zh-CN"/>
              </w:rPr>
              <w:t>G</w:t>
            </w:r>
            <w:r>
              <w:rPr>
                <w:rFonts w:hint="eastAsia"/>
                <w:szCs w:val="24"/>
              </w:rPr>
              <w:t>1），厂界外1</w:t>
            </w:r>
            <w:r>
              <w:rPr>
                <w:rFonts w:hint="eastAsia" w:eastAsia="微软雅黑"/>
                <w:szCs w:val="24"/>
              </w:rPr>
              <w:t>0</w:t>
            </w:r>
            <w:r>
              <w:rPr>
                <w:rFonts w:hint="eastAsia"/>
                <w:szCs w:val="24"/>
              </w:rPr>
              <w:t>米范围内下风向布设3个废气无组织排放监控点</w:t>
            </w:r>
            <w:r>
              <w:rPr>
                <w:rFonts w:hint="eastAsia" w:ascii="Times New Roman" w:hAnsi="Times New Roman"/>
                <w:bCs/>
                <w:szCs w:val="24"/>
              </w:rPr>
              <w:t>（</w:t>
            </w:r>
            <w:r>
              <w:rPr>
                <w:rFonts w:hint="eastAsia" w:ascii="Times New Roman" w:hAnsi="Times New Roman"/>
                <w:bCs/>
                <w:lang w:val="en-US" w:eastAsia="zh-CN"/>
              </w:rPr>
              <w:t>G</w:t>
            </w:r>
            <w:r>
              <w:rPr>
                <w:rFonts w:hint="eastAsia" w:ascii="Times New Roman" w:hAnsi="Times New Roman"/>
                <w:bCs/>
              </w:rPr>
              <w:t>2、</w:t>
            </w:r>
            <w:r>
              <w:rPr>
                <w:rFonts w:hint="eastAsia" w:ascii="Times New Roman" w:hAnsi="Times New Roman"/>
                <w:bCs/>
                <w:lang w:val="en-US" w:eastAsia="zh-CN"/>
              </w:rPr>
              <w:t>G</w:t>
            </w:r>
            <w:r>
              <w:rPr>
                <w:rFonts w:hint="eastAsia" w:ascii="Times New Roman" w:hAnsi="Times New Roman"/>
                <w:bCs/>
              </w:rPr>
              <w:t>3、</w:t>
            </w:r>
            <w:r>
              <w:rPr>
                <w:rFonts w:hint="eastAsia" w:ascii="Times New Roman" w:hAnsi="Times New Roman"/>
                <w:bCs/>
                <w:lang w:val="en-US" w:eastAsia="zh-CN"/>
              </w:rPr>
              <w:t>G</w:t>
            </w:r>
            <w:r>
              <w:rPr>
                <w:rFonts w:hint="eastAsia" w:ascii="Times New Roman" w:hAnsi="Times New Roman"/>
                <w:bCs/>
              </w:rPr>
              <w:t>4），以捕捉废气无组织排放的最大浓度。无组织排放监测时，同时监测并记录各监测点位的风向、风速等气象参数。监测因子及监测频次见</w:t>
            </w:r>
            <w:r>
              <w:rPr>
                <w:rFonts w:hint="eastAsia" w:ascii="Times New Roman" w:hAnsi="Times New Roman" w:eastAsia="宋体" w:cs="Times New Roman"/>
                <w:sz w:val="24"/>
                <w:szCs w:val="24"/>
              </w:rPr>
              <w:t>表6-1。</w:t>
            </w:r>
          </w:p>
          <w:p w14:paraId="4A01C927">
            <w:pPr>
              <w:pStyle w:val="25"/>
              <w:keepNext w:val="0"/>
              <w:keepLines w:val="0"/>
              <w:suppressLineNumbers w:val="0"/>
              <w:bidi w:val="0"/>
              <w:spacing w:before="0" w:beforeAutospacing="0" w:after="0" w:afterAutospacing="0"/>
              <w:ind w:left="0" w:right="0"/>
              <w:rPr>
                <w:rFonts w:hint="default"/>
              </w:rPr>
            </w:pPr>
            <w:r>
              <w:rPr>
                <w:rFonts w:hint="default"/>
              </w:rPr>
              <w:t>表</w:t>
            </w:r>
            <w:r>
              <w:rPr>
                <w:rFonts w:hint="eastAsia"/>
              </w:rPr>
              <w:t>6-1无组织废气</w:t>
            </w:r>
            <w:r>
              <w:rPr>
                <w:rFonts w:hint="default"/>
              </w:rPr>
              <w:t>监测</w:t>
            </w:r>
            <w:r>
              <w:rPr>
                <w:rFonts w:hint="eastAsia"/>
              </w:rPr>
              <w:t>点位、监测</w:t>
            </w:r>
            <w:r>
              <w:rPr>
                <w:rFonts w:hint="default"/>
              </w:rPr>
              <w:t>因子及</w:t>
            </w:r>
            <w:r>
              <w:rPr>
                <w:rFonts w:hint="eastAsia"/>
              </w:rPr>
              <w:t>监测</w:t>
            </w:r>
            <w:r>
              <w:rPr>
                <w:rFonts w:hint="default"/>
              </w:rPr>
              <w:t>频次</w:t>
            </w:r>
          </w:p>
          <w:tbl>
            <w:tblPr>
              <w:tblStyle w:val="19"/>
              <w:tblW w:w="0" w:type="auto"/>
              <w:tblInd w:w="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00"/>
              <w:gridCol w:w="2410"/>
              <w:gridCol w:w="2194"/>
            </w:tblGrid>
            <w:tr w14:paraId="6049F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700" w:type="dxa"/>
                  <w:vAlign w:val="center"/>
                </w:tcPr>
                <w:p w14:paraId="54EC2A5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监测点位</w:t>
                  </w:r>
                </w:p>
              </w:tc>
              <w:tc>
                <w:tcPr>
                  <w:tcW w:w="2410" w:type="dxa"/>
                  <w:vAlign w:val="center"/>
                </w:tcPr>
                <w:p w14:paraId="64F9B7A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监测项目</w:t>
                  </w:r>
                </w:p>
              </w:tc>
              <w:tc>
                <w:tcPr>
                  <w:tcW w:w="2194" w:type="dxa"/>
                  <w:vAlign w:val="center"/>
                </w:tcPr>
                <w:p w14:paraId="46A36D5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监测频次</w:t>
                  </w:r>
                </w:p>
              </w:tc>
            </w:tr>
            <w:tr w14:paraId="0E960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exact"/>
              </w:trPr>
              <w:tc>
                <w:tcPr>
                  <w:tcW w:w="3700" w:type="dxa"/>
                  <w:vAlign w:val="center"/>
                </w:tcPr>
                <w:p w14:paraId="1AC9B85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厂界上风向参照点</w:t>
                  </w:r>
                  <w:r>
                    <w:rPr>
                      <w:rFonts w:hint="eastAsia" w:ascii="Times New Roman" w:hAnsi="Times New Roman" w:eastAsia="宋体"/>
                      <w:kern w:val="0"/>
                      <w:sz w:val="21"/>
                      <w:szCs w:val="21"/>
                      <w:lang w:val="en-US" w:eastAsia="zh-CN"/>
                    </w:rPr>
                    <w:t>G</w:t>
                  </w:r>
                  <w:r>
                    <w:rPr>
                      <w:rFonts w:hint="eastAsia" w:ascii="Times New Roman" w:hAnsi="Times New Roman" w:eastAsia="宋体"/>
                      <w:kern w:val="0"/>
                      <w:sz w:val="21"/>
                      <w:szCs w:val="21"/>
                    </w:rPr>
                    <w:t>1</w:t>
                  </w:r>
                </w:p>
              </w:tc>
              <w:tc>
                <w:tcPr>
                  <w:tcW w:w="2410" w:type="dxa"/>
                  <w:vMerge w:val="restart"/>
                  <w:vAlign w:val="center"/>
                </w:tcPr>
                <w:p w14:paraId="5712972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lang w:eastAsia="zh-CN"/>
                    </w:rPr>
                    <w:t>非甲烷总烃、</w:t>
                  </w:r>
                  <w:r>
                    <w:rPr>
                      <w:rFonts w:hint="eastAsia" w:ascii="Times New Roman" w:hAnsi="Times New Roman" w:eastAsia="宋体"/>
                      <w:kern w:val="0"/>
                      <w:sz w:val="21"/>
                      <w:szCs w:val="21"/>
                      <w:lang w:val="en-US" w:eastAsia="zh-CN"/>
                    </w:rPr>
                    <w:t>颗粒物</w:t>
                  </w:r>
                </w:p>
              </w:tc>
              <w:tc>
                <w:tcPr>
                  <w:tcW w:w="2194" w:type="dxa"/>
                  <w:vMerge w:val="restart"/>
                  <w:vAlign w:val="center"/>
                </w:tcPr>
                <w:p w14:paraId="6B68BBA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2天，</w:t>
                  </w:r>
                  <w:r>
                    <w:rPr>
                      <w:rFonts w:hint="eastAsia" w:ascii="Times New Roman" w:hAnsi="Times New Roman" w:eastAsia="宋体"/>
                      <w:kern w:val="0"/>
                      <w:sz w:val="21"/>
                      <w:szCs w:val="21"/>
                      <w:lang w:val="en-US" w:eastAsia="zh-CN"/>
                    </w:rPr>
                    <w:t>3</w:t>
                  </w:r>
                  <w:r>
                    <w:rPr>
                      <w:rFonts w:hint="eastAsia" w:ascii="Times New Roman" w:hAnsi="Times New Roman" w:eastAsia="宋体"/>
                      <w:kern w:val="0"/>
                      <w:sz w:val="21"/>
                      <w:szCs w:val="21"/>
                    </w:rPr>
                    <w:t>次/天</w:t>
                  </w:r>
                </w:p>
              </w:tc>
            </w:tr>
            <w:tr w14:paraId="55723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3700" w:type="dxa"/>
                  <w:vAlign w:val="center"/>
                </w:tcPr>
                <w:p w14:paraId="4A8603A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厂界下风向无组织监测点</w:t>
                  </w:r>
                  <w:r>
                    <w:rPr>
                      <w:rFonts w:hint="eastAsia" w:ascii="Times New Roman" w:hAnsi="Times New Roman" w:eastAsia="宋体"/>
                      <w:kern w:val="0"/>
                      <w:sz w:val="21"/>
                      <w:szCs w:val="21"/>
                      <w:lang w:val="en-US" w:eastAsia="zh-CN"/>
                    </w:rPr>
                    <w:t>G</w:t>
                  </w:r>
                  <w:r>
                    <w:rPr>
                      <w:rFonts w:hint="eastAsia" w:ascii="Times New Roman" w:hAnsi="Times New Roman" w:eastAsia="宋体"/>
                      <w:kern w:val="0"/>
                      <w:sz w:val="21"/>
                      <w:szCs w:val="21"/>
                    </w:rPr>
                    <w:t>2、</w:t>
                  </w:r>
                  <w:r>
                    <w:rPr>
                      <w:rFonts w:hint="eastAsia" w:ascii="Times New Roman" w:hAnsi="Times New Roman" w:eastAsia="宋体"/>
                      <w:kern w:val="0"/>
                      <w:sz w:val="21"/>
                      <w:szCs w:val="21"/>
                      <w:lang w:val="en-US" w:eastAsia="zh-CN"/>
                    </w:rPr>
                    <w:t>G</w:t>
                  </w:r>
                  <w:r>
                    <w:rPr>
                      <w:rFonts w:hint="eastAsia" w:ascii="Times New Roman" w:hAnsi="Times New Roman" w:eastAsia="宋体"/>
                      <w:kern w:val="0"/>
                      <w:sz w:val="21"/>
                      <w:szCs w:val="21"/>
                    </w:rPr>
                    <w:t>3、</w:t>
                  </w:r>
                  <w:r>
                    <w:rPr>
                      <w:rFonts w:hint="eastAsia" w:ascii="Times New Roman" w:hAnsi="Times New Roman" w:eastAsia="宋体"/>
                      <w:kern w:val="0"/>
                      <w:sz w:val="21"/>
                      <w:szCs w:val="21"/>
                      <w:lang w:val="en-US" w:eastAsia="zh-CN"/>
                    </w:rPr>
                    <w:t>G</w:t>
                  </w:r>
                  <w:r>
                    <w:rPr>
                      <w:rFonts w:hint="eastAsia" w:ascii="Times New Roman" w:hAnsi="Times New Roman" w:eastAsia="宋体"/>
                      <w:kern w:val="0"/>
                      <w:sz w:val="21"/>
                      <w:szCs w:val="21"/>
                    </w:rPr>
                    <w:t>4</w:t>
                  </w:r>
                </w:p>
              </w:tc>
              <w:tc>
                <w:tcPr>
                  <w:tcW w:w="2410" w:type="dxa"/>
                  <w:vMerge w:val="continue"/>
                  <w:vAlign w:val="center"/>
                </w:tcPr>
                <w:p w14:paraId="780A925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c>
                <w:tcPr>
                  <w:tcW w:w="2194" w:type="dxa"/>
                  <w:vMerge w:val="continue"/>
                  <w:vAlign w:val="center"/>
                </w:tcPr>
                <w:p w14:paraId="27CD462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bl>
          <w:p w14:paraId="3511E614">
            <w:pPr>
              <w:keepNext w:val="0"/>
              <w:keepLines w:val="0"/>
              <w:suppressLineNumbers w:val="0"/>
              <w:spacing w:before="0" w:beforeAutospacing="0" w:after="0" w:afterAutospacing="0" w:line="360" w:lineRule="auto"/>
              <w:ind w:left="0" w:right="0" w:firstLine="480" w:firstLineChars="200"/>
              <w:rPr>
                <w:rFonts w:hint="eastAsia" w:ascii="Calibri" w:hAnsi="Calibri" w:eastAsia="宋体" w:cs="Times New Roman"/>
                <w:sz w:val="24"/>
                <w:szCs w:val="24"/>
                <w:lang w:val="zh-CN"/>
              </w:rPr>
            </w:pPr>
            <w:r>
              <w:rPr>
                <w:rFonts w:hint="eastAsia" w:ascii="Calibri" w:hAnsi="Calibri" w:eastAsia="宋体" w:cs="Times New Roman"/>
                <w:sz w:val="24"/>
                <w:szCs w:val="24"/>
                <w:lang w:val="zh-CN"/>
              </w:rPr>
              <w:t>（</w:t>
            </w:r>
            <w:r>
              <w:rPr>
                <w:rFonts w:hint="eastAsia" w:ascii="Calibri" w:hAnsi="Calibri" w:eastAsia="宋体" w:cs="Times New Roman"/>
                <w:sz w:val="24"/>
                <w:szCs w:val="24"/>
                <w:lang w:val="en-US" w:eastAsia="zh-CN"/>
              </w:rPr>
              <w:t>2</w:t>
            </w:r>
            <w:r>
              <w:rPr>
                <w:rFonts w:hint="eastAsia" w:ascii="Calibri" w:hAnsi="Calibri" w:eastAsia="宋体" w:cs="Times New Roman"/>
                <w:sz w:val="24"/>
                <w:szCs w:val="24"/>
                <w:lang w:val="zh-CN"/>
              </w:rPr>
              <w:t>）厂内无组织监测</w:t>
            </w:r>
          </w:p>
          <w:p w14:paraId="7B5CCC76">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rPr>
            </w:pPr>
            <w:r>
              <w:rPr>
                <w:rFonts w:hint="eastAsia"/>
              </w:rPr>
              <w:t>验收监测期间，对厂区内非甲烷总烃无组织排放进行监控时，在厂房门窗或通风口、其他开口（孔）等排放口外1m，距离地面1.5m以上位置处进行监测，设置</w:t>
            </w:r>
            <w:r>
              <w:rPr>
                <w:rFonts w:hint="eastAsia"/>
                <w:lang w:val="en-US" w:eastAsia="zh-CN"/>
              </w:rPr>
              <w:t>1</w:t>
            </w:r>
            <w:r>
              <w:rPr>
                <w:rFonts w:hint="eastAsia"/>
              </w:rPr>
              <w:t>个监测点位。</w:t>
            </w:r>
          </w:p>
          <w:p w14:paraId="1D8CA618">
            <w:pPr>
              <w:pStyle w:val="25"/>
              <w:keepNext w:val="0"/>
              <w:keepLines w:val="0"/>
              <w:suppressLineNumbers w:val="0"/>
              <w:bidi w:val="0"/>
              <w:spacing w:before="0" w:beforeAutospacing="0" w:after="0" w:afterAutospacing="0"/>
              <w:ind w:left="0" w:right="0"/>
              <w:rPr>
                <w:rFonts w:hint="default"/>
              </w:rPr>
            </w:pPr>
            <w:r>
              <w:rPr>
                <w:rFonts w:hint="default"/>
              </w:rPr>
              <w:t>表</w:t>
            </w:r>
            <w:r>
              <w:rPr>
                <w:rFonts w:hint="eastAsia"/>
                <w:lang w:val="en-US" w:eastAsia="zh-CN"/>
              </w:rPr>
              <w:t>6-2</w:t>
            </w:r>
            <w:r>
              <w:rPr>
                <w:rFonts w:hint="eastAsia"/>
              </w:rPr>
              <w:t xml:space="preserve"> 厂内有机废气</w:t>
            </w:r>
            <w:r>
              <w:rPr>
                <w:rFonts w:hint="default"/>
              </w:rPr>
              <w:t>监测</w:t>
            </w:r>
            <w:r>
              <w:rPr>
                <w:rFonts w:hint="eastAsia"/>
              </w:rPr>
              <w:t>点位、监测</w:t>
            </w:r>
            <w:r>
              <w:rPr>
                <w:rFonts w:hint="default"/>
              </w:rPr>
              <w:t>因子及</w:t>
            </w:r>
            <w:r>
              <w:rPr>
                <w:rFonts w:hint="eastAsia"/>
              </w:rPr>
              <w:t>监测</w:t>
            </w:r>
            <w:r>
              <w:rPr>
                <w:rFonts w:hint="default"/>
              </w:rPr>
              <w:t>频次</w:t>
            </w:r>
          </w:p>
          <w:tbl>
            <w:tblPr>
              <w:tblStyle w:val="19"/>
              <w:tblW w:w="8440" w:type="dxa"/>
              <w:tblInd w:w="94" w:type="dxa"/>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Layout w:type="fixed"/>
              <w:tblCellMar>
                <w:top w:w="0" w:type="dxa"/>
                <w:left w:w="108" w:type="dxa"/>
                <w:bottom w:w="0" w:type="dxa"/>
                <w:right w:w="108" w:type="dxa"/>
              </w:tblCellMar>
            </w:tblPr>
            <w:tblGrid>
              <w:gridCol w:w="3569"/>
              <w:gridCol w:w="2501"/>
              <w:gridCol w:w="2370"/>
            </w:tblGrid>
            <w:tr w14:paraId="7289C2E1">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108" w:type="dxa"/>
                  <w:bottom w:w="0" w:type="dxa"/>
                  <w:right w:w="108" w:type="dxa"/>
                </w:tblCellMar>
              </w:tblPrEx>
              <w:trPr>
                <w:trHeight w:val="480" w:hRule="exact"/>
              </w:trPr>
              <w:tc>
                <w:tcPr>
                  <w:tcW w:w="3569" w:type="dxa"/>
                  <w:tcBorders>
                    <w:top w:val="single" w:color="auto" w:sz="4" w:space="0"/>
                    <w:left w:val="single" w:color="auto" w:sz="0" w:space="0"/>
                    <w:bottom w:val="single" w:color="auto" w:sz="4" w:space="0"/>
                  </w:tcBorders>
                  <w:vAlign w:val="center"/>
                </w:tcPr>
                <w:p w14:paraId="2A56267A">
                  <w:pPr>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监测点位</w:t>
                  </w:r>
                </w:p>
              </w:tc>
              <w:tc>
                <w:tcPr>
                  <w:tcW w:w="2501" w:type="dxa"/>
                  <w:tcBorders>
                    <w:top w:val="single" w:color="auto" w:sz="4" w:space="0"/>
                    <w:bottom w:val="single" w:color="auto" w:sz="4" w:space="0"/>
                  </w:tcBorders>
                  <w:vAlign w:val="center"/>
                </w:tcPr>
                <w:p w14:paraId="59B96D25">
                  <w:pPr>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监测项目</w:t>
                  </w:r>
                </w:p>
              </w:tc>
              <w:tc>
                <w:tcPr>
                  <w:tcW w:w="2370" w:type="dxa"/>
                  <w:tcBorders>
                    <w:top w:val="single" w:color="auto" w:sz="4" w:space="0"/>
                    <w:bottom w:val="single" w:color="auto" w:sz="4" w:space="0"/>
                    <w:right w:val="single" w:color="auto" w:sz="4" w:space="0"/>
                  </w:tcBorders>
                  <w:vAlign w:val="center"/>
                </w:tcPr>
                <w:p w14:paraId="11C70132">
                  <w:pPr>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监测频次</w:t>
                  </w:r>
                </w:p>
              </w:tc>
            </w:tr>
            <w:tr w14:paraId="3ABBE61A">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108" w:type="dxa"/>
                  <w:bottom w:w="0" w:type="dxa"/>
                  <w:right w:w="108" w:type="dxa"/>
                </w:tblCellMar>
              </w:tblPrEx>
              <w:trPr>
                <w:trHeight w:val="936" w:hRule="atLeast"/>
              </w:trPr>
              <w:tc>
                <w:tcPr>
                  <w:tcW w:w="3569" w:type="dxa"/>
                  <w:tcBorders>
                    <w:top w:val="single" w:color="auto" w:sz="4" w:space="0"/>
                    <w:left w:val="single" w:color="auto" w:sz="4" w:space="0"/>
                    <w:bottom w:val="single" w:color="auto" w:sz="4" w:space="0"/>
                  </w:tcBorders>
                  <w:vAlign w:val="center"/>
                </w:tcPr>
                <w:p w14:paraId="0699FF25">
                  <w:pPr>
                    <w:keepNext w:val="0"/>
                    <w:keepLines w:val="0"/>
                    <w:suppressLineNumbers w:val="0"/>
                    <w:spacing w:before="0" w:beforeAutospacing="0" w:after="0" w:afterAutospacing="0" w:line="240" w:lineRule="auto"/>
                    <w:ind w:left="0" w:right="0" w:firstLine="0" w:firstLineChars="0"/>
                    <w:jc w:val="center"/>
                    <w:rPr>
                      <w:rFonts w:hint="default" w:eastAsiaTheme="minorEastAsia"/>
                      <w:sz w:val="21"/>
                      <w:szCs w:val="21"/>
                      <w:lang w:val="en-US" w:eastAsia="zh-CN"/>
                    </w:rPr>
                  </w:pPr>
                  <w:r>
                    <w:rPr>
                      <w:rFonts w:hint="eastAsia"/>
                      <w:sz w:val="21"/>
                      <w:szCs w:val="21"/>
                    </w:rPr>
                    <w:t>碳氢清洗机所在厂房门窗或通风口、其他开口（孔）等排放口外1m，距离地面1.5m以上B1</w:t>
                  </w:r>
                </w:p>
              </w:tc>
              <w:tc>
                <w:tcPr>
                  <w:tcW w:w="2501" w:type="dxa"/>
                  <w:tcBorders>
                    <w:top w:val="single" w:color="auto" w:sz="4" w:space="0"/>
                    <w:bottom w:val="single" w:color="auto" w:sz="4" w:space="0"/>
                  </w:tcBorders>
                  <w:vAlign w:val="center"/>
                </w:tcPr>
                <w:p w14:paraId="455B784E">
                  <w:pPr>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非甲烷总烃一次值</w:t>
                  </w:r>
                </w:p>
              </w:tc>
              <w:tc>
                <w:tcPr>
                  <w:tcW w:w="2370" w:type="dxa"/>
                  <w:tcBorders>
                    <w:top w:val="single" w:color="auto" w:sz="4" w:space="0"/>
                    <w:bottom w:val="single" w:color="auto" w:sz="4" w:space="0"/>
                    <w:right w:val="single" w:color="auto" w:sz="4" w:space="0"/>
                  </w:tcBorders>
                  <w:vAlign w:val="center"/>
                </w:tcPr>
                <w:p w14:paraId="41A96B6C">
                  <w:pPr>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2天，</w:t>
                  </w:r>
                  <w:r>
                    <w:rPr>
                      <w:rFonts w:hint="eastAsia"/>
                      <w:sz w:val="21"/>
                      <w:szCs w:val="21"/>
                      <w:lang w:val="en-US" w:eastAsia="zh-CN"/>
                    </w:rPr>
                    <w:t>3</w:t>
                  </w:r>
                  <w:r>
                    <w:rPr>
                      <w:rFonts w:hint="eastAsia"/>
                      <w:sz w:val="21"/>
                      <w:szCs w:val="21"/>
                    </w:rPr>
                    <w:t>次/天</w:t>
                  </w:r>
                </w:p>
              </w:tc>
            </w:tr>
          </w:tbl>
          <w:p w14:paraId="63587139">
            <w:pPr>
              <w:keepNext w:val="0"/>
              <w:keepLines w:val="0"/>
              <w:suppressLineNumbers w:val="0"/>
              <w:spacing w:before="0" w:beforeAutospacing="0" w:after="0" w:afterAutospacing="0" w:line="360" w:lineRule="auto"/>
              <w:ind w:left="0" w:right="0" w:firstLine="480" w:firstLineChars="200"/>
              <w:rPr>
                <w:rFonts w:hint="eastAsia" w:ascii="Calibri" w:hAnsi="Calibri" w:eastAsia="宋体" w:cs="Times New Roman"/>
                <w:sz w:val="24"/>
                <w:szCs w:val="24"/>
                <w:lang w:val="zh-CN"/>
              </w:rPr>
            </w:pPr>
          </w:p>
          <w:p w14:paraId="41972A80">
            <w:pPr>
              <w:keepNext w:val="0"/>
              <w:keepLines w:val="0"/>
              <w:suppressLineNumbers w:val="0"/>
              <w:spacing w:before="0" w:beforeAutospacing="0" w:after="0" w:afterAutospacing="0" w:line="360" w:lineRule="auto"/>
              <w:ind w:left="0" w:right="0" w:firstLine="480" w:firstLineChars="200"/>
              <w:rPr>
                <w:rFonts w:hint="eastAsia" w:ascii="Calibri" w:hAnsi="Calibri" w:eastAsia="宋体" w:cs="Times New Roman"/>
                <w:sz w:val="24"/>
                <w:szCs w:val="24"/>
                <w:lang w:val="zh-CN"/>
              </w:rPr>
            </w:pPr>
          </w:p>
          <w:p w14:paraId="226D82A2">
            <w:pPr>
              <w:keepNext w:val="0"/>
              <w:keepLines w:val="0"/>
              <w:suppressLineNumbers w:val="0"/>
              <w:spacing w:before="0" w:beforeAutospacing="0" w:after="0" w:afterAutospacing="0" w:line="360" w:lineRule="auto"/>
              <w:ind w:left="0" w:right="0" w:firstLine="480" w:firstLineChars="200"/>
              <w:rPr>
                <w:rFonts w:hint="eastAsia" w:ascii="Calibri" w:hAnsi="Calibri" w:eastAsia="宋体" w:cs="Times New Roman"/>
                <w:sz w:val="24"/>
                <w:szCs w:val="24"/>
                <w:lang w:val="zh-CN"/>
              </w:rPr>
            </w:pPr>
          </w:p>
          <w:p w14:paraId="27A29899">
            <w:pPr>
              <w:pStyle w:val="3"/>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lang w:val="zh-CN"/>
              </w:rPr>
            </w:pPr>
            <w:bookmarkStart w:id="1" w:name="_Toc501484620"/>
            <w:r>
              <w:rPr>
                <w:rFonts w:hint="eastAsia"/>
                <w:lang w:val="zh-CN"/>
              </w:rPr>
              <w:t>6.2噪声监测</w:t>
            </w:r>
          </w:p>
          <w:bookmarkEnd w:id="1"/>
          <w:p w14:paraId="023A5B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sz w:val="24"/>
                <w:szCs w:val="24"/>
              </w:rPr>
            </w:pPr>
            <w:r>
              <w:rPr>
                <w:rFonts w:hint="eastAsia" w:ascii="Times New Roman" w:hAnsi="Times New Roman" w:eastAsia="宋体" w:cs="Times New Roman"/>
                <w:sz w:val="24"/>
                <w:szCs w:val="24"/>
              </w:rPr>
              <w:t>监测点位、因子及频次见表6-</w:t>
            </w:r>
            <w:r>
              <w:rPr>
                <w:rFonts w:hint="eastAsia" w:ascii="Times New Roman" w:hAnsi="Times New Roman" w:eastAsia="宋体" w:cs="Times New Roman"/>
                <w:sz w:val="24"/>
                <w:szCs w:val="24"/>
                <w:lang w:val="en-US" w:eastAsia="zh-CN"/>
              </w:rPr>
              <w:t>3</w:t>
            </w:r>
            <w:r>
              <w:rPr>
                <w:rFonts w:hint="eastAsia" w:ascii="Times New Roman" w:hAnsi="Times New Roman" w:eastAsia="宋体" w:cs="Times New Roman"/>
                <w:sz w:val="24"/>
                <w:szCs w:val="24"/>
              </w:rPr>
              <w:t>。</w:t>
            </w:r>
          </w:p>
          <w:p w14:paraId="63D8C243">
            <w:pPr>
              <w:keepNext w:val="0"/>
              <w:keepLines w:val="0"/>
              <w:suppressLineNumbers w:val="0"/>
              <w:spacing w:before="0" w:beforeAutospacing="0" w:after="0" w:afterAutospacing="0" w:line="360" w:lineRule="auto"/>
              <w:ind w:left="0" w:right="0"/>
              <w:jc w:val="center"/>
              <w:rPr>
                <w:rFonts w:hint="default" w:ascii="宋体" w:hAnsi="宋体" w:eastAsia="宋体" w:cs="Times New Roman"/>
                <w:b/>
                <w:bCs/>
                <w:color w:val="000000"/>
                <w:sz w:val="24"/>
                <w:szCs w:val="24"/>
              </w:rPr>
            </w:pPr>
            <w:r>
              <w:rPr>
                <w:rFonts w:hint="eastAsia" w:ascii="Times New Roman" w:hAnsi="Times New Roman" w:eastAsia="宋体" w:cs="Times New Roman"/>
                <w:b/>
                <w:sz w:val="24"/>
                <w:szCs w:val="24"/>
              </w:rPr>
              <w:t>表6-</w:t>
            </w:r>
            <w:r>
              <w:rPr>
                <w:rFonts w:hint="eastAsia" w:ascii="Times New Roman" w:hAnsi="Times New Roman" w:eastAsia="宋体" w:cs="Times New Roman"/>
                <w:b/>
                <w:sz w:val="24"/>
                <w:szCs w:val="24"/>
                <w:lang w:val="en-US" w:eastAsia="zh-CN"/>
              </w:rPr>
              <w:t>3</w:t>
            </w:r>
            <w:r>
              <w:rPr>
                <w:rFonts w:hint="default"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噪声监测点位、</w:t>
            </w:r>
            <w:r>
              <w:rPr>
                <w:rFonts w:hint="eastAsia" w:ascii="宋体" w:hAnsi="宋体" w:eastAsia="宋体" w:cs="Times New Roman"/>
                <w:b/>
                <w:bCs/>
                <w:color w:val="000000"/>
                <w:sz w:val="24"/>
                <w:szCs w:val="24"/>
              </w:rPr>
              <w:t>监测因子及监测频次一览表</w:t>
            </w:r>
          </w:p>
          <w:tbl>
            <w:tblPr>
              <w:tblStyle w:val="19"/>
              <w:tblW w:w="8362" w:type="dxa"/>
              <w:jc w:val="center"/>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Layout w:type="fixed"/>
              <w:tblCellMar>
                <w:top w:w="0" w:type="dxa"/>
                <w:left w:w="28" w:type="dxa"/>
                <w:bottom w:w="0" w:type="dxa"/>
                <w:right w:w="28" w:type="dxa"/>
              </w:tblCellMar>
            </w:tblPr>
            <w:tblGrid>
              <w:gridCol w:w="3425"/>
              <w:gridCol w:w="2019"/>
              <w:gridCol w:w="2918"/>
            </w:tblGrid>
            <w:tr w14:paraId="6E3526BA">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28" w:type="dxa"/>
                  <w:bottom w:w="0" w:type="dxa"/>
                  <w:right w:w="28" w:type="dxa"/>
                </w:tblCellMar>
              </w:tblPrEx>
              <w:trPr>
                <w:trHeight w:val="458" w:hRule="atLeast"/>
                <w:jc w:val="center"/>
              </w:trPr>
              <w:tc>
                <w:tcPr>
                  <w:tcW w:w="3425" w:type="dxa"/>
                  <w:tcBorders>
                    <w:top w:val="single" w:color="auto" w:sz="4" w:space="0"/>
                    <w:left w:val="single" w:color="auto" w:sz="0" w:space="0"/>
                    <w:bottom w:val="single" w:color="auto" w:sz="4" w:space="0"/>
                  </w:tcBorders>
                  <w:vAlign w:val="center"/>
                </w:tcPr>
                <w:p w14:paraId="6A55BD5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监测点位</w:t>
                  </w:r>
                </w:p>
              </w:tc>
              <w:tc>
                <w:tcPr>
                  <w:tcW w:w="2019" w:type="dxa"/>
                  <w:tcBorders>
                    <w:top w:val="single" w:color="auto" w:sz="4" w:space="0"/>
                    <w:bottom w:val="single" w:color="auto" w:sz="4" w:space="0"/>
                  </w:tcBorders>
                  <w:vAlign w:val="center"/>
                </w:tcPr>
                <w:p w14:paraId="38E809F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监测因子</w:t>
                  </w:r>
                </w:p>
              </w:tc>
              <w:tc>
                <w:tcPr>
                  <w:tcW w:w="2918" w:type="dxa"/>
                  <w:tcBorders>
                    <w:top w:val="single" w:color="auto" w:sz="4" w:space="0"/>
                    <w:bottom w:val="single" w:color="auto" w:sz="4" w:space="0"/>
                    <w:right w:val="single" w:color="auto" w:sz="4" w:space="0"/>
                  </w:tcBorders>
                  <w:vAlign w:val="center"/>
                </w:tcPr>
                <w:p w14:paraId="56315D3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监测频次</w:t>
                  </w:r>
                </w:p>
              </w:tc>
            </w:tr>
            <w:tr w14:paraId="42C14917">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28" w:type="dxa"/>
                  <w:bottom w:w="0" w:type="dxa"/>
                  <w:right w:w="28" w:type="dxa"/>
                </w:tblCellMar>
              </w:tblPrEx>
              <w:trPr>
                <w:trHeight w:val="775" w:hRule="atLeast"/>
                <w:jc w:val="center"/>
              </w:trPr>
              <w:tc>
                <w:tcPr>
                  <w:tcW w:w="3425" w:type="dxa"/>
                  <w:tcBorders>
                    <w:top w:val="single" w:color="auto" w:sz="4" w:space="0"/>
                    <w:left w:val="single" w:color="auto" w:sz="4" w:space="0"/>
                    <w:bottom w:val="single" w:color="auto" w:sz="4" w:space="0"/>
                  </w:tcBorders>
                  <w:vAlign w:val="center"/>
                </w:tcPr>
                <w:p w14:paraId="59D063E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东</w:t>
                  </w:r>
                  <w:r>
                    <w:rPr>
                      <w:rFonts w:hint="eastAsia" w:ascii="Times New Roman" w:hAnsi="Times New Roman" w:eastAsia="宋体"/>
                      <w:kern w:val="0"/>
                      <w:sz w:val="21"/>
                      <w:szCs w:val="21"/>
                    </w:rPr>
                    <w:t>、</w:t>
                  </w:r>
                  <w:r>
                    <w:rPr>
                      <w:rFonts w:hint="default" w:ascii="Times New Roman" w:hAnsi="Times New Roman" w:eastAsia="宋体"/>
                      <w:kern w:val="0"/>
                      <w:sz w:val="21"/>
                      <w:szCs w:val="21"/>
                    </w:rPr>
                    <w:t>南、西、北厂界各布设1个监测点</w:t>
                  </w:r>
                  <w:r>
                    <w:rPr>
                      <w:rFonts w:hint="eastAsia" w:ascii="Times New Roman" w:hAnsi="Times New Roman" w:eastAsia="宋体"/>
                      <w:kern w:val="0"/>
                      <w:sz w:val="21"/>
                      <w:szCs w:val="21"/>
                    </w:rPr>
                    <w:t>（</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1、</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2、</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3、</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4）</w:t>
                  </w:r>
                  <w:r>
                    <w:rPr>
                      <w:rFonts w:hint="default" w:ascii="Times New Roman" w:hAnsi="Times New Roman" w:eastAsia="宋体"/>
                      <w:kern w:val="0"/>
                      <w:sz w:val="21"/>
                      <w:szCs w:val="21"/>
                    </w:rPr>
                    <w:t>，共</w:t>
                  </w:r>
                  <w:r>
                    <w:rPr>
                      <w:rFonts w:hint="eastAsia" w:ascii="Times New Roman" w:hAnsi="Times New Roman" w:eastAsia="宋体"/>
                      <w:kern w:val="0"/>
                      <w:sz w:val="21"/>
                      <w:szCs w:val="21"/>
                    </w:rPr>
                    <w:t>4</w:t>
                  </w:r>
                  <w:r>
                    <w:rPr>
                      <w:rFonts w:hint="default" w:ascii="Times New Roman" w:hAnsi="Times New Roman" w:eastAsia="宋体"/>
                      <w:kern w:val="0"/>
                      <w:sz w:val="21"/>
                      <w:szCs w:val="21"/>
                    </w:rPr>
                    <w:t>个监测点</w:t>
                  </w:r>
                </w:p>
              </w:tc>
              <w:tc>
                <w:tcPr>
                  <w:tcW w:w="2019" w:type="dxa"/>
                  <w:vMerge w:val="restart"/>
                  <w:tcBorders>
                    <w:top w:val="single" w:color="auto" w:sz="4" w:space="0"/>
                    <w:bottom w:val="single" w:color="auto" w:sz="4" w:space="0"/>
                  </w:tcBorders>
                  <w:vAlign w:val="center"/>
                </w:tcPr>
                <w:p w14:paraId="552126B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等效连续A声级</w:t>
                  </w:r>
                </w:p>
              </w:tc>
              <w:tc>
                <w:tcPr>
                  <w:tcW w:w="2918" w:type="dxa"/>
                  <w:vMerge w:val="restart"/>
                  <w:tcBorders>
                    <w:top w:val="single" w:color="auto" w:sz="4" w:space="0"/>
                    <w:bottom w:val="single" w:color="auto" w:sz="4" w:space="0"/>
                    <w:right w:val="single" w:color="auto" w:sz="4" w:space="0"/>
                  </w:tcBorders>
                  <w:vAlign w:val="center"/>
                </w:tcPr>
                <w:p w14:paraId="6E9B3F8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昼</w:t>
                  </w:r>
                  <w:r>
                    <w:rPr>
                      <w:rFonts w:hint="eastAsia" w:ascii="Times New Roman" w:hAnsi="Times New Roman" w:eastAsia="宋体"/>
                      <w:kern w:val="0"/>
                      <w:sz w:val="21"/>
                      <w:szCs w:val="21"/>
                      <w:lang w:eastAsia="zh-CN"/>
                    </w:rPr>
                    <w:t>夜各</w:t>
                  </w:r>
                  <w:r>
                    <w:rPr>
                      <w:rFonts w:hint="eastAsia" w:ascii="Times New Roman" w:hAnsi="Times New Roman" w:eastAsia="宋体"/>
                      <w:kern w:val="0"/>
                      <w:sz w:val="21"/>
                      <w:szCs w:val="21"/>
                      <w:lang w:val="en-US" w:eastAsia="zh-CN"/>
                    </w:rPr>
                    <w:t>1</w:t>
                  </w:r>
                  <w:r>
                    <w:rPr>
                      <w:rFonts w:hint="default" w:ascii="Times New Roman" w:hAnsi="Times New Roman" w:eastAsia="宋体"/>
                      <w:kern w:val="0"/>
                      <w:sz w:val="21"/>
                      <w:szCs w:val="21"/>
                    </w:rPr>
                    <w:t>次</w:t>
                  </w:r>
                  <w:r>
                    <w:rPr>
                      <w:rFonts w:hint="eastAsia" w:ascii="Times New Roman" w:hAnsi="Times New Roman" w:eastAsia="宋体"/>
                      <w:kern w:val="0"/>
                      <w:sz w:val="21"/>
                      <w:szCs w:val="21"/>
                      <w:lang w:val="en-US" w:eastAsia="zh-CN"/>
                    </w:rPr>
                    <w:t>/天</w:t>
                  </w:r>
                  <w:r>
                    <w:rPr>
                      <w:rFonts w:hint="default" w:ascii="Times New Roman" w:hAnsi="Times New Roman" w:eastAsia="宋体"/>
                      <w:kern w:val="0"/>
                      <w:sz w:val="21"/>
                      <w:szCs w:val="21"/>
                    </w:rPr>
                    <w:t>，</w:t>
                  </w:r>
                  <w:r>
                    <w:rPr>
                      <w:rFonts w:hint="eastAsia" w:ascii="Times New Roman" w:hAnsi="Times New Roman" w:eastAsia="宋体"/>
                      <w:kern w:val="0"/>
                      <w:sz w:val="21"/>
                      <w:szCs w:val="21"/>
                    </w:rPr>
                    <w:t>连续监测</w:t>
                  </w:r>
                  <w:r>
                    <w:rPr>
                      <w:rFonts w:hint="default" w:ascii="Times New Roman" w:hAnsi="Times New Roman" w:eastAsia="宋体"/>
                      <w:kern w:val="0"/>
                      <w:sz w:val="21"/>
                      <w:szCs w:val="21"/>
                    </w:rPr>
                    <w:t>2天</w:t>
                  </w:r>
                </w:p>
              </w:tc>
            </w:tr>
            <w:tr w14:paraId="7424FEC1">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28" w:type="dxa"/>
                  <w:bottom w:w="0" w:type="dxa"/>
                  <w:right w:w="28" w:type="dxa"/>
                </w:tblCellMar>
              </w:tblPrEx>
              <w:trPr>
                <w:trHeight w:val="775" w:hRule="atLeast"/>
                <w:jc w:val="center"/>
              </w:trPr>
              <w:tc>
                <w:tcPr>
                  <w:tcW w:w="3425" w:type="dxa"/>
                  <w:tcBorders>
                    <w:top w:val="single" w:color="auto" w:sz="4" w:space="0"/>
                    <w:left w:val="single" w:color="auto" w:sz="4" w:space="0"/>
                    <w:bottom w:val="single" w:color="auto" w:sz="4" w:space="0"/>
                  </w:tcBorders>
                  <w:vAlign w:val="center"/>
                </w:tcPr>
                <w:p w14:paraId="601AF10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尚城花园南苑（</w:t>
                  </w:r>
                  <w:r>
                    <w:rPr>
                      <w:rFonts w:hint="eastAsia" w:ascii="Times New Roman" w:hAnsi="Times New Roman" w:eastAsia="宋体"/>
                      <w:kern w:val="0"/>
                      <w:sz w:val="21"/>
                      <w:szCs w:val="21"/>
                      <w:lang w:val="en-US" w:eastAsia="zh-CN"/>
                    </w:rPr>
                    <w:t>N</w:t>
                  </w:r>
                  <w:r>
                    <w:rPr>
                      <w:rFonts w:hint="eastAsia" w:ascii="Times New Roman" w:hAnsi="Times New Roman" w:eastAsia="宋体"/>
                      <w:kern w:val="0"/>
                      <w:sz w:val="21"/>
                      <w:szCs w:val="21"/>
                    </w:rPr>
                    <w:t>5）</w:t>
                  </w:r>
                </w:p>
              </w:tc>
              <w:tc>
                <w:tcPr>
                  <w:tcW w:w="2019" w:type="dxa"/>
                  <w:vMerge w:val="continue"/>
                  <w:tcBorders>
                    <w:top w:val="single" w:color="auto" w:sz="4" w:space="0"/>
                    <w:bottom w:val="single" w:color="auto" w:sz="4" w:space="0"/>
                  </w:tcBorders>
                  <w:vAlign w:val="center"/>
                </w:tcPr>
                <w:p w14:paraId="03448AF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c>
                <w:tcPr>
                  <w:tcW w:w="2918" w:type="dxa"/>
                  <w:vMerge w:val="continue"/>
                  <w:tcBorders>
                    <w:top w:val="single" w:color="auto" w:sz="4" w:space="0"/>
                    <w:bottom w:val="single" w:color="auto" w:sz="4" w:space="0"/>
                    <w:right w:val="single" w:color="auto" w:sz="4" w:space="0"/>
                  </w:tcBorders>
                  <w:vAlign w:val="center"/>
                </w:tcPr>
                <w:p w14:paraId="6B2811F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bl>
          <w:p w14:paraId="5578D959">
            <w:pPr>
              <w:keepNext w:val="0"/>
              <w:keepLines w:val="0"/>
              <w:pageBreakBefore w:val="0"/>
              <w:widowControl/>
              <w:numPr>
                <w:ilvl w:val="0"/>
                <w:numId w:val="1"/>
              </w:numPr>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监测项目：等效连续</w:t>
            </w:r>
            <w:r>
              <w:rPr>
                <w:rFonts w:hint="default" w:ascii="Times New Roman" w:hAnsi="Times New Roman" w:eastAsia="宋体" w:cs="Times New Roman"/>
                <w:sz w:val="24"/>
                <w:szCs w:val="24"/>
              </w:rPr>
              <w:t>A</w:t>
            </w:r>
            <w:r>
              <w:rPr>
                <w:rFonts w:hint="eastAsia" w:ascii="Times New Roman" w:hAnsi="Times New Roman" w:eastAsia="宋体" w:cs="Times New Roman"/>
                <w:sz w:val="24"/>
                <w:szCs w:val="24"/>
              </w:rPr>
              <w:t>声级；</w:t>
            </w:r>
          </w:p>
          <w:p w14:paraId="51D290AB">
            <w:pPr>
              <w:pStyle w:val="3"/>
              <w:suppressLineNumbers w:val="0"/>
              <w:bidi w:val="0"/>
              <w:spacing w:before="0" w:beforeAutospacing="0" w:after="0" w:afterAutospacing="0"/>
              <w:ind w:left="0" w:right="0"/>
              <w:rPr>
                <w:rFonts w:hint="eastAsia"/>
              </w:rPr>
            </w:pPr>
            <w:r>
              <w:rPr>
                <w:rFonts w:hint="eastAsia"/>
                <w:lang w:val="en-US" w:eastAsia="zh-CN"/>
              </w:rPr>
              <w:t>6.3废水监测</w:t>
            </w:r>
          </w:p>
          <w:p w14:paraId="2CBA75D6">
            <w:pPr>
              <w:keepNext w:val="0"/>
              <w:keepLines w:val="0"/>
              <w:suppressLineNumbers w:val="0"/>
              <w:spacing w:before="0" w:beforeAutospacing="0" w:after="0" w:afterAutospacing="0"/>
              <w:ind w:left="0" w:right="0" w:firstLine="480"/>
              <w:rPr>
                <w:rFonts w:hint="default"/>
                <w:sz w:val="24"/>
                <w:szCs w:val="24"/>
              </w:rPr>
            </w:pPr>
            <w:r>
              <w:rPr>
                <w:rFonts w:hint="default"/>
                <w:sz w:val="24"/>
                <w:szCs w:val="24"/>
              </w:rPr>
              <w:t>废水监测内容见表</w:t>
            </w:r>
            <w:r>
              <w:rPr>
                <w:rFonts w:hint="eastAsia"/>
                <w:sz w:val="24"/>
                <w:szCs w:val="24"/>
                <w:lang w:val="en-US" w:eastAsia="zh-CN"/>
              </w:rPr>
              <w:t>6</w:t>
            </w:r>
            <w:r>
              <w:rPr>
                <w:rFonts w:hint="eastAsia"/>
                <w:sz w:val="24"/>
                <w:szCs w:val="24"/>
              </w:rPr>
              <w:t>-</w:t>
            </w:r>
            <w:r>
              <w:rPr>
                <w:rFonts w:hint="eastAsia"/>
                <w:sz w:val="24"/>
                <w:szCs w:val="24"/>
                <w:lang w:val="en-US" w:eastAsia="zh-CN"/>
              </w:rPr>
              <w:t>4</w:t>
            </w:r>
            <w:r>
              <w:rPr>
                <w:rFonts w:hint="default"/>
                <w:sz w:val="24"/>
                <w:szCs w:val="24"/>
              </w:rPr>
              <w:t>。</w:t>
            </w:r>
          </w:p>
          <w:p w14:paraId="678EF87C">
            <w:pPr>
              <w:keepNext w:val="0"/>
              <w:keepLines w:val="0"/>
              <w:suppressLineNumbers w:val="0"/>
              <w:spacing w:before="0" w:beforeAutospacing="0" w:after="0" w:afterAutospacing="0"/>
              <w:ind w:left="0" w:right="0" w:firstLine="482"/>
              <w:jc w:val="center"/>
              <w:rPr>
                <w:rFonts w:hint="default"/>
                <w:b/>
                <w:sz w:val="24"/>
                <w:szCs w:val="24"/>
              </w:rPr>
            </w:pPr>
            <w:r>
              <w:rPr>
                <w:rFonts w:hint="default"/>
                <w:b/>
                <w:sz w:val="24"/>
                <w:szCs w:val="24"/>
              </w:rPr>
              <w:t>表</w:t>
            </w:r>
            <w:r>
              <w:rPr>
                <w:rFonts w:hint="eastAsia"/>
                <w:b/>
                <w:sz w:val="24"/>
                <w:szCs w:val="24"/>
                <w:lang w:val="en-US" w:eastAsia="zh-CN"/>
              </w:rPr>
              <w:t>6</w:t>
            </w:r>
            <w:r>
              <w:rPr>
                <w:rFonts w:hint="eastAsia"/>
                <w:b/>
                <w:sz w:val="24"/>
                <w:szCs w:val="24"/>
              </w:rPr>
              <w:t>-</w:t>
            </w:r>
            <w:r>
              <w:rPr>
                <w:rFonts w:hint="eastAsia"/>
                <w:b/>
                <w:sz w:val="24"/>
                <w:szCs w:val="24"/>
                <w:lang w:val="en-US" w:eastAsia="zh-CN"/>
              </w:rPr>
              <w:t>4</w:t>
            </w:r>
            <w:r>
              <w:rPr>
                <w:rFonts w:hint="eastAsia"/>
                <w:b/>
                <w:sz w:val="24"/>
                <w:szCs w:val="24"/>
              </w:rPr>
              <w:t xml:space="preserve"> </w:t>
            </w:r>
            <w:r>
              <w:rPr>
                <w:rFonts w:hint="default"/>
                <w:b/>
                <w:sz w:val="24"/>
                <w:szCs w:val="24"/>
              </w:rPr>
              <w:t>废水监测点位、项目及频次一览表</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8"/>
              <w:gridCol w:w="1770"/>
              <w:gridCol w:w="2846"/>
              <w:gridCol w:w="3053"/>
            </w:tblGrid>
            <w:tr w14:paraId="7ACBB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638" w:type="dxa"/>
                  <w:vAlign w:val="center"/>
                </w:tcPr>
                <w:p w14:paraId="3F86823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编号</w:t>
                  </w:r>
                </w:p>
              </w:tc>
              <w:tc>
                <w:tcPr>
                  <w:tcW w:w="1770" w:type="dxa"/>
                  <w:vAlign w:val="center"/>
                </w:tcPr>
                <w:p w14:paraId="3A71D28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采样地点</w:t>
                  </w:r>
                </w:p>
              </w:tc>
              <w:tc>
                <w:tcPr>
                  <w:tcW w:w="2846" w:type="dxa"/>
                  <w:vAlign w:val="center"/>
                </w:tcPr>
                <w:p w14:paraId="068D988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监测项目</w:t>
                  </w:r>
                </w:p>
              </w:tc>
              <w:tc>
                <w:tcPr>
                  <w:tcW w:w="3053" w:type="dxa"/>
                  <w:vAlign w:val="center"/>
                </w:tcPr>
                <w:p w14:paraId="78BB171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监测频次</w:t>
                  </w:r>
                </w:p>
              </w:tc>
            </w:tr>
            <w:tr w14:paraId="502D1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638" w:type="dxa"/>
                  <w:vAlign w:val="center"/>
                </w:tcPr>
                <w:p w14:paraId="5CC23F5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★1</w:t>
                  </w:r>
                  <w:r>
                    <w:rPr>
                      <w:rFonts w:hint="default" w:ascii="Times New Roman" w:hAnsi="Times New Roman" w:eastAsia="宋体"/>
                      <w:kern w:val="0"/>
                      <w:sz w:val="21"/>
                      <w:szCs w:val="21"/>
                    </w:rPr>
                    <w:t>#</w:t>
                  </w:r>
                </w:p>
              </w:tc>
              <w:tc>
                <w:tcPr>
                  <w:tcW w:w="1770" w:type="dxa"/>
                  <w:vAlign w:val="center"/>
                </w:tcPr>
                <w:p w14:paraId="709351BD">
                  <w:pPr>
                    <w:keepNext w:val="0"/>
                    <w:keepLines w:val="0"/>
                    <w:suppressLineNumbers w:val="0"/>
                    <w:spacing w:before="0" w:beforeAutospacing="0" w:after="0" w:afterAutospacing="0" w:line="240" w:lineRule="auto"/>
                    <w:ind w:left="0" w:right="0" w:firstLine="0" w:firstLineChars="0"/>
                    <w:rPr>
                      <w:rFonts w:hint="default" w:ascii="Times New Roman" w:hAnsi="Times New Roman" w:eastAsia="宋体"/>
                      <w:kern w:val="0"/>
                      <w:sz w:val="21"/>
                      <w:szCs w:val="21"/>
                    </w:rPr>
                  </w:pPr>
                  <w:r>
                    <w:rPr>
                      <w:rFonts w:hint="eastAsia" w:ascii="Times New Roman" w:hAnsi="Times New Roman" w:eastAsia="宋体"/>
                      <w:kern w:val="0"/>
                      <w:sz w:val="21"/>
                      <w:szCs w:val="21"/>
                    </w:rPr>
                    <w:t>厂区污水总排口</w:t>
                  </w:r>
                </w:p>
              </w:tc>
              <w:tc>
                <w:tcPr>
                  <w:tcW w:w="2846" w:type="dxa"/>
                  <w:vAlign w:val="center"/>
                </w:tcPr>
                <w:p w14:paraId="7D2906D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rPr>
                    <w:t>pH、COD、</w:t>
                  </w:r>
                  <w:r>
                    <w:rPr>
                      <w:rFonts w:hint="eastAsia" w:ascii="Times New Roman" w:hAnsi="Times New Roman" w:eastAsia="宋体"/>
                      <w:kern w:val="0"/>
                      <w:sz w:val="21"/>
                      <w:szCs w:val="21"/>
                      <w:lang w:val="en-US" w:eastAsia="zh-CN"/>
                    </w:rPr>
                    <w:t>动植物油</w:t>
                  </w:r>
                  <w:r>
                    <w:rPr>
                      <w:rFonts w:hint="eastAsia" w:ascii="Times New Roman" w:hAnsi="Times New Roman" w:eastAsia="宋体"/>
                      <w:kern w:val="0"/>
                      <w:sz w:val="21"/>
                      <w:szCs w:val="21"/>
                    </w:rPr>
                    <w:t>、SS、氨氮、石油类</w:t>
                  </w:r>
                  <w:r>
                    <w:rPr>
                      <w:rFonts w:hint="eastAsia" w:ascii="Times New Roman" w:hAnsi="Times New Roman" w:eastAsia="宋体"/>
                      <w:kern w:val="0"/>
                      <w:sz w:val="21"/>
                      <w:szCs w:val="21"/>
                      <w:lang w:eastAsia="zh-CN"/>
                    </w:rPr>
                    <w:t>、</w:t>
                  </w:r>
                  <w:r>
                    <w:rPr>
                      <w:rFonts w:hint="eastAsia" w:ascii="Times New Roman" w:hAnsi="Times New Roman" w:eastAsia="宋体"/>
                      <w:kern w:val="0"/>
                      <w:sz w:val="21"/>
                      <w:szCs w:val="21"/>
                      <w:lang w:val="en-US" w:eastAsia="zh-CN"/>
                    </w:rPr>
                    <w:t>LAS</w:t>
                  </w:r>
                </w:p>
              </w:tc>
              <w:tc>
                <w:tcPr>
                  <w:tcW w:w="3053" w:type="dxa"/>
                  <w:vAlign w:val="center"/>
                </w:tcPr>
                <w:p w14:paraId="263D09D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每天监测</w:t>
                  </w:r>
                  <w:r>
                    <w:rPr>
                      <w:rFonts w:hint="eastAsia" w:ascii="Times New Roman" w:hAnsi="Times New Roman" w:eastAsia="宋体"/>
                      <w:kern w:val="0"/>
                      <w:sz w:val="21"/>
                      <w:szCs w:val="21"/>
                    </w:rPr>
                    <w:t>4</w:t>
                  </w:r>
                  <w:r>
                    <w:rPr>
                      <w:rFonts w:hint="default" w:ascii="Times New Roman" w:hAnsi="Times New Roman" w:eastAsia="宋体"/>
                      <w:kern w:val="0"/>
                      <w:sz w:val="21"/>
                      <w:szCs w:val="21"/>
                    </w:rPr>
                    <w:t>次，连续监测2天</w:t>
                  </w:r>
                </w:p>
              </w:tc>
            </w:tr>
          </w:tbl>
          <w:p w14:paraId="4550C86C">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jc w:val="left"/>
              <w:textAlignment w:val="auto"/>
              <w:rPr>
                <w:rFonts w:hint="eastAsia" w:ascii="Times New Roman" w:hAnsi="Times New Roman" w:eastAsia="宋体" w:cs="Times New Roman"/>
                <w:sz w:val="24"/>
                <w:szCs w:val="24"/>
              </w:rPr>
            </w:pPr>
          </w:p>
          <w:p w14:paraId="54CC29EC">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jc w:val="left"/>
              <w:textAlignment w:val="auto"/>
              <w:rPr>
                <w:rFonts w:hint="eastAsia" w:ascii="Times New Roman" w:hAnsi="Times New Roman" w:eastAsia="宋体" w:cs="Times New Roman"/>
                <w:sz w:val="24"/>
                <w:szCs w:val="24"/>
              </w:rPr>
            </w:pPr>
          </w:p>
          <w:p w14:paraId="337C8C78">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jc w:val="left"/>
              <w:textAlignment w:val="auto"/>
              <w:rPr>
                <w:rFonts w:hint="eastAsia" w:ascii="Times New Roman" w:hAnsi="Times New Roman" w:eastAsia="宋体" w:cs="Times New Roman"/>
                <w:sz w:val="24"/>
                <w:szCs w:val="24"/>
              </w:rPr>
            </w:pPr>
          </w:p>
          <w:p w14:paraId="2182ACE9">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jc w:val="left"/>
              <w:textAlignment w:val="auto"/>
              <w:rPr>
                <w:rFonts w:hint="eastAsia" w:ascii="Times New Roman" w:hAnsi="Times New Roman" w:eastAsia="宋体" w:cs="Times New Roman"/>
                <w:sz w:val="24"/>
                <w:szCs w:val="24"/>
              </w:rPr>
            </w:pPr>
          </w:p>
          <w:p w14:paraId="1C45EC61">
            <w:pPr>
              <w:pStyle w:val="3"/>
              <w:pageBreakBefore w:val="0"/>
              <w:suppressLineNumbers w:val="0"/>
              <w:kinsoku/>
              <w:wordWrap/>
              <w:overflowPunct/>
              <w:topLinePunct w:val="0"/>
              <w:autoSpaceDE/>
              <w:autoSpaceDN/>
              <w:bidi w:val="0"/>
              <w:spacing w:before="0" w:beforeAutospacing="0" w:after="0" w:afterAutospacing="0" w:line="360" w:lineRule="auto"/>
              <w:ind w:left="0" w:right="0"/>
              <w:textAlignment w:val="auto"/>
              <w:rPr>
                <w:rFonts w:hint="default"/>
                <w:lang w:val="en-US" w:eastAsia="zh-CN"/>
              </w:rPr>
            </w:pPr>
          </w:p>
        </w:tc>
      </w:tr>
    </w:tbl>
    <w:p w14:paraId="1528F22A">
      <w:pPr>
        <w:widowControl/>
        <w:adjustRightInd w:val="0"/>
        <w:snapToGrid w:val="0"/>
        <w:spacing w:after="200" w:line="360" w:lineRule="auto"/>
        <w:jc w:val="left"/>
        <w:rPr>
          <w:rFonts w:ascii="Tahoma" w:hAnsi="Tahoma" w:eastAsia="仿宋_GB2312" w:cs="Times New Roman"/>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cols w:space="720" w:num="1"/>
          <w:docGrid w:linePitch="360" w:charSpace="0"/>
        </w:sectPr>
      </w:pPr>
    </w:p>
    <w:p w14:paraId="593A83EA">
      <w:pPr>
        <w:pStyle w:val="39"/>
        <w:kinsoku w:val="0"/>
        <w:overflowPunct w:val="0"/>
        <w:spacing w:beforeLines="0" w:afterLines="0" w:line="360" w:lineRule="auto"/>
        <w:ind w:left="0" w:leftChars="0" w:firstLine="0" w:firstLineChars="0"/>
        <w:rPr>
          <w:rFonts w:hint="eastAsia" w:ascii="Tahoma" w:hAnsi="Tahoma" w:cs="Times New Roman" w:eastAsiaTheme="minorEastAsia"/>
          <w:b/>
          <w:color w:val="000000"/>
          <w:kern w:val="0"/>
          <w:sz w:val="24"/>
          <w:szCs w:val="24"/>
          <w:lang w:eastAsia="zh-CN"/>
        </w:rPr>
      </w:pPr>
      <w:r>
        <w:drawing>
          <wp:inline distT="0" distB="0" distL="114300" distR="114300">
            <wp:extent cx="8777605" cy="4847590"/>
            <wp:effectExtent l="9525" t="9525" r="13970" b="1968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3"/>
                    <a:stretch>
                      <a:fillRect/>
                    </a:stretch>
                  </pic:blipFill>
                  <pic:spPr>
                    <a:xfrm>
                      <a:off x="0" y="0"/>
                      <a:ext cx="8777605" cy="4847590"/>
                    </a:xfrm>
                    <a:prstGeom prst="rect">
                      <a:avLst/>
                    </a:prstGeom>
                    <a:noFill/>
                    <a:ln w="9525">
                      <a:solidFill>
                        <a:schemeClr val="tx1"/>
                      </a:solidFill>
                    </a:ln>
                  </pic:spPr>
                </pic:pic>
              </a:graphicData>
            </a:graphic>
          </wp:inline>
        </w:drawing>
      </w:r>
    </w:p>
    <w:p w14:paraId="4A3DBBBA">
      <w:pPr>
        <w:pStyle w:val="25"/>
        <w:bidi w:val="0"/>
        <w:rPr>
          <w:rFonts w:ascii="Tahoma" w:hAnsi="Tahoma" w:eastAsia="仿宋_GB2312" w:cs="Times New Roman"/>
          <w:b/>
          <w:color w:val="000000"/>
          <w:kern w:val="0"/>
          <w:sz w:val="24"/>
          <w:szCs w:val="24"/>
        </w:rPr>
      </w:pPr>
      <w:r>
        <w:rPr>
          <w:rFonts w:hint="eastAsia" w:ascii="宋体" w:hAnsi="宋体" w:eastAsia="宋体" w:cs="Times New Roman"/>
          <w:b/>
          <w:bCs/>
          <w:szCs w:val="21"/>
        </w:rPr>
        <w:t>附图6-1</w:t>
      </w:r>
      <w:r>
        <w:rPr>
          <w:rFonts w:hint="eastAsia" w:ascii="宋体" w:hAnsi="宋体" w:eastAsia="宋体" w:cs="Times New Roman"/>
          <w:b/>
          <w:bCs/>
          <w:szCs w:val="21"/>
          <w:lang w:val="en-US" w:eastAsia="zh-CN"/>
        </w:rPr>
        <w:t xml:space="preserve"> </w:t>
      </w:r>
      <w:r>
        <w:rPr>
          <w:rFonts w:hint="eastAsia" w:ascii="Times New Roman" w:hAnsi="Times New Roman" w:eastAsia="宋体" w:cs="Times New Roman"/>
          <w:b/>
          <w:bCs/>
          <w:szCs w:val="21"/>
        </w:rPr>
        <w:t>监测点位布置图</w:t>
      </w:r>
    </w:p>
    <w:p w14:paraId="23B380C9">
      <w:pPr>
        <w:widowControl/>
        <w:adjustRightInd w:val="0"/>
        <w:snapToGrid w:val="0"/>
        <w:spacing w:line="360" w:lineRule="auto"/>
        <w:jc w:val="left"/>
        <w:rPr>
          <w:rFonts w:ascii="Tahoma" w:hAnsi="Tahoma" w:eastAsia="仿宋_GB2312" w:cs="Times New Roman"/>
          <w:b/>
          <w:color w:val="000000"/>
          <w:kern w:val="0"/>
          <w:sz w:val="24"/>
          <w:szCs w:val="24"/>
        </w:rPr>
        <w:sectPr>
          <w:pgSz w:w="16838" w:h="11906" w:orient="landscape"/>
          <w:pgMar w:top="1797" w:right="1440" w:bottom="1797" w:left="1440" w:header="708" w:footer="708" w:gutter="0"/>
          <w:pgBorders>
            <w:top w:val="none" w:sz="0" w:space="0"/>
            <w:left w:val="none" w:sz="0" w:space="0"/>
            <w:bottom w:val="none" w:sz="0" w:space="0"/>
            <w:right w:val="none" w:sz="0" w:space="0"/>
          </w:pgBorders>
          <w:cols w:space="720" w:num="1"/>
          <w:docGrid w:linePitch="360" w:charSpace="0"/>
        </w:sectPr>
      </w:pPr>
    </w:p>
    <w:p w14:paraId="33DF0EED">
      <w:pPr>
        <w:pStyle w:val="2"/>
        <w:bidi w:val="0"/>
      </w:pPr>
      <w:r>
        <w:t>表</w:t>
      </w:r>
      <w:r>
        <w:rPr>
          <w:rFonts w:hint="eastAsia"/>
        </w:rPr>
        <w:t>七</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67E84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8924" w:type="dxa"/>
          </w:tcPr>
          <w:p w14:paraId="524C8D9A">
            <w:pPr>
              <w:pStyle w:val="3"/>
              <w:suppressLineNumbers w:val="0"/>
              <w:bidi w:val="0"/>
              <w:spacing w:before="0" w:beforeAutospacing="0" w:after="0" w:afterAutospacing="0"/>
              <w:ind w:left="0" w:right="0"/>
              <w:rPr>
                <w:rFonts w:hint="default" w:ascii="Times New Roman" w:hAnsi="Times New Roman" w:cs="Times New Roman"/>
              </w:rPr>
            </w:pPr>
            <w:r>
              <w:rPr>
                <w:rFonts w:hint="default" w:ascii="Times New Roman" w:hAnsi="Times New Roman" w:cs="Times New Roman"/>
              </w:rPr>
              <w:t>7.1验收监测期间生产工况记录：</w:t>
            </w:r>
          </w:p>
          <w:p w14:paraId="014F055E">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kern w:val="0"/>
                <w:sz w:val="24"/>
                <w:szCs w:val="24"/>
                <w14:textFill>
                  <w14:solidFill>
                    <w14:schemeClr w14:val="tx1"/>
                  </w14:solidFill>
                </w14:textFill>
              </w:rPr>
            </w:pPr>
            <w:r>
              <w:rPr>
                <w:rFonts w:hint="default" w:ascii="Times New Roman" w:hAnsi="Times New Roman" w:eastAsia="宋体" w:cs="Times New Roman"/>
                <w:color w:val="000000" w:themeColor="text1"/>
                <w:kern w:val="0"/>
                <w:sz w:val="24"/>
                <w:szCs w:val="24"/>
                <w14:textFill>
                  <w14:solidFill>
                    <w14:schemeClr w14:val="tx1"/>
                  </w14:solidFill>
                </w14:textFill>
              </w:rPr>
              <w:t>本次验收监测期间，环保设施运行正常，符合验收监测条件，此次监测结果可作为验收依据。具体生产符合见表7-1</w:t>
            </w:r>
          </w:p>
          <w:p w14:paraId="5A7F85D5">
            <w:pPr>
              <w:keepNext w:val="0"/>
              <w:keepLines w:val="0"/>
              <w:suppressLineNumbers w:val="0"/>
              <w:autoSpaceDE w:val="0"/>
              <w:autoSpaceDN w:val="0"/>
              <w:adjustRightInd w:val="0"/>
              <w:spacing w:before="0" w:beforeAutospacing="0" w:after="0" w:afterAutospacing="0" w:line="360" w:lineRule="auto"/>
              <w:ind w:left="0" w:right="0"/>
              <w:jc w:val="center"/>
              <w:rPr>
                <w:rFonts w:hint="default" w:ascii="Times New Roman" w:hAnsi="Times New Roman" w:eastAsia="宋体" w:cs="Times New Roman"/>
                <w:b/>
                <w:bCs/>
                <w:kern w:val="0"/>
                <w:sz w:val="24"/>
                <w:szCs w:val="24"/>
              </w:rPr>
            </w:pPr>
            <w:r>
              <w:rPr>
                <w:rFonts w:hint="default" w:ascii="Times New Roman" w:hAnsi="Times New Roman" w:eastAsia="宋体" w:cs="Times New Roman"/>
                <w:b/>
                <w:bCs/>
                <w:kern w:val="0"/>
                <w:sz w:val="24"/>
                <w:szCs w:val="24"/>
              </w:rPr>
              <w:t>表7-1 验收监测期间项目生产工况表</w:t>
            </w:r>
          </w:p>
          <w:tbl>
            <w:tblPr>
              <w:tblStyle w:val="43"/>
              <w:tblW w:w="85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1"/>
              <w:gridCol w:w="1711"/>
              <w:gridCol w:w="1711"/>
              <w:gridCol w:w="1711"/>
              <w:gridCol w:w="1711"/>
            </w:tblGrid>
            <w:tr w14:paraId="09C86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1711" w:type="dxa"/>
                  <w:vAlign w:val="center"/>
                </w:tcPr>
                <w:p w14:paraId="40ED740E">
                  <w:pPr>
                    <w:pStyle w:val="24"/>
                    <w:keepNext w:val="0"/>
                    <w:keepLines w:val="0"/>
                    <w:suppressLineNumbers w:val="0"/>
                    <w:bidi w:val="0"/>
                    <w:spacing w:before="0" w:beforeAutospacing="0" w:after="0" w:afterAutospacing="0"/>
                    <w:ind w:left="0" w:right="0"/>
                    <w:rPr>
                      <w:rFonts w:hint="default" w:ascii="Times New Roman" w:hAnsi="Times New Roman" w:cs="Times New Roman"/>
                    </w:rPr>
                  </w:pPr>
                  <w:r>
                    <w:rPr>
                      <w:rFonts w:hint="default" w:ascii="Times New Roman" w:hAnsi="Times New Roman" w:cs="Times New Roman"/>
                    </w:rPr>
                    <w:t>名称</w:t>
                  </w:r>
                </w:p>
              </w:tc>
              <w:tc>
                <w:tcPr>
                  <w:tcW w:w="1711" w:type="dxa"/>
                  <w:vAlign w:val="center"/>
                </w:tcPr>
                <w:p w14:paraId="24E85759">
                  <w:pPr>
                    <w:pStyle w:val="24"/>
                    <w:keepNext w:val="0"/>
                    <w:keepLines w:val="0"/>
                    <w:suppressLineNumbers w:val="0"/>
                    <w:bidi w:val="0"/>
                    <w:spacing w:before="0" w:beforeAutospacing="0" w:after="0" w:afterAutospacing="0"/>
                    <w:ind w:left="0" w:right="0"/>
                    <w:rPr>
                      <w:rFonts w:hint="default" w:ascii="Times New Roman" w:hAnsi="Times New Roman" w:cs="Times New Roman"/>
                    </w:rPr>
                  </w:pPr>
                  <w:r>
                    <w:rPr>
                      <w:rFonts w:hint="default" w:ascii="Times New Roman" w:hAnsi="Times New Roman" w:cs="Times New Roman"/>
                    </w:rPr>
                    <w:t>日期</w:t>
                  </w:r>
                </w:p>
              </w:tc>
              <w:tc>
                <w:tcPr>
                  <w:tcW w:w="1711" w:type="dxa"/>
                  <w:vAlign w:val="center"/>
                </w:tcPr>
                <w:p w14:paraId="371E0ED5">
                  <w:pPr>
                    <w:pStyle w:val="24"/>
                    <w:keepNext w:val="0"/>
                    <w:keepLines w:val="0"/>
                    <w:suppressLineNumbers w:val="0"/>
                    <w:bidi w:val="0"/>
                    <w:spacing w:before="0" w:beforeAutospacing="0" w:after="0" w:afterAutospacing="0"/>
                    <w:ind w:left="0" w:right="0"/>
                    <w:rPr>
                      <w:rFonts w:hint="default" w:ascii="Times New Roman" w:hAnsi="Times New Roman" w:cs="Times New Roman"/>
                    </w:rPr>
                  </w:pPr>
                  <w:r>
                    <w:rPr>
                      <w:rFonts w:hint="default" w:ascii="Times New Roman" w:hAnsi="Times New Roman" w:cs="Times New Roman"/>
                    </w:rPr>
                    <w:t>设计能力</w:t>
                  </w:r>
                </w:p>
              </w:tc>
              <w:tc>
                <w:tcPr>
                  <w:tcW w:w="1711" w:type="dxa"/>
                  <w:vAlign w:val="center"/>
                </w:tcPr>
                <w:p w14:paraId="555DC7C0">
                  <w:pPr>
                    <w:pStyle w:val="24"/>
                    <w:keepNext w:val="0"/>
                    <w:keepLines w:val="0"/>
                    <w:suppressLineNumbers w:val="0"/>
                    <w:bidi w:val="0"/>
                    <w:spacing w:before="0" w:beforeAutospacing="0" w:after="0" w:afterAutospacing="0"/>
                    <w:ind w:left="0" w:right="0"/>
                    <w:rPr>
                      <w:rFonts w:hint="default" w:ascii="Times New Roman" w:hAnsi="Times New Roman" w:cs="Times New Roman"/>
                    </w:rPr>
                  </w:pPr>
                  <w:r>
                    <w:rPr>
                      <w:rFonts w:hint="default" w:ascii="Times New Roman" w:hAnsi="Times New Roman" w:cs="Times New Roman"/>
                    </w:rPr>
                    <w:t>实际能力</w:t>
                  </w:r>
                </w:p>
              </w:tc>
              <w:tc>
                <w:tcPr>
                  <w:tcW w:w="1711" w:type="dxa"/>
                  <w:vAlign w:val="center"/>
                </w:tcPr>
                <w:p w14:paraId="09B79EF7">
                  <w:pPr>
                    <w:pStyle w:val="24"/>
                    <w:keepNext w:val="0"/>
                    <w:keepLines w:val="0"/>
                    <w:suppressLineNumbers w:val="0"/>
                    <w:bidi w:val="0"/>
                    <w:spacing w:before="0" w:beforeAutospacing="0" w:after="0" w:afterAutospacing="0"/>
                    <w:ind w:left="0" w:right="0"/>
                    <w:rPr>
                      <w:rFonts w:hint="default" w:ascii="Times New Roman" w:hAnsi="Times New Roman" w:cs="Times New Roman"/>
                    </w:rPr>
                  </w:pPr>
                  <w:r>
                    <w:rPr>
                      <w:rFonts w:hint="default" w:ascii="Times New Roman" w:hAnsi="Times New Roman" w:cs="Times New Roman"/>
                    </w:rPr>
                    <w:t>生产负荷</w:t>
                  </w:r>
                </w:p>
              </w:tc>
            </w:tr>
            <w:tr w14:paraId="19CF8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1711" w:type="dxa"/>
                  <w:vAlign w:val="center"/>
                </w:tcPr>
                <w:p w14:paraId="4DA524B2">
                  <w:pPr>
                    <w:pStyle w:val="24"/>
                    <w:keepNext w:val="0"/>
                    <w:keepLines w:val="0"/>
                    <w:suppressLineNumbers w:val="0"/>
                    <w:bidi w:val="0"/>
                    <w:spacing w:before="0" w:beforeAutospacing="0" w:after="0" w:afterAutospacing="0"/>
                    <w:ind w:left="0" w:right="0"/>
                    <w:rPr>
                      <w:rFonts w:hint="default" w:ascii="Times New Roman" w:hAnsi="Times New Roman" w:cs="Times New Roman"/>
                      <w:lang w:val="en-US" w:eastAsia="zh-CN"/>
                    </w:rPr>
                  </w:pPr>
                  <w:r>
                    <w:rPr>
                      <w:rFonts w:hint="default" w:ascii="Times New Roman" w:hAnsi="Times New Roman" w:cs="Times New Roman"/>
                      <w:lang w:val="en-US" w:eastAsia="zh-CN"/>
                    </w:rPr>
                    <w:t>端面密封件</w:t>
                  </w:r>
                </w:p>
              </w:tc>
              <w:tc>
                <w:tcPr>
                  <w:tcW w:w="1711" w:type="dxa"/>
                  <w:vAlign w:val="center"/>
                </w:tcPr>
                <w:p w14:paraId="51A4D2B9">
                  <w:pPr>
                    <w:pStyle w:val="24"/>
                    <w:keepNext w:val="0"/>
                    <w:keepLines w:val="0"/>
                    <w:suppressLineNumbers w:val="0"/>
                    <w:bidi w:val="0"/>
                    <w:spacing w:before="0" w:beforeAutospacing="0" w:after="0" w:afterAutospacing="0"/>
                    <w:ind w:left="0" w:right="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2025.12.22</w:t>
                  </w:r>
                </w:p>
              </w:tc>
              <w:tc>
                <w:tcPr>
                  <w:tcW w:w="1711" w:type="dxa"/>
                  <w:vAlign w:val="center"/>
                </w:tcPr>
                <w:p w14:paraId="2F76C252">
                  <w:pPr>
                    <w:pStyle w:val="24"/>
                    <w:keepNext w:val="0"/>
                    <w:keepLines w:val="0"/>
                    <w:suppressLineNumbers w:val="0"/>
                    <w:bidi w:val="0"/>
                    <w:spacing w:before="0" w:beforeAutospacing="0" w:after="0" w:afterAutospacing="0"/>
                    <w:ind w:left="0" w:right="0"/>
                    <w:rPr>
                      <w:rFonts w:hint="default" w:ascii="Times New Roman" w:hAnsi="Times New Roman" w:cs="Times New Roman"/>
                      <w:lang w:val="en-US" w:eastAsia="zh-CN"/>
                    </w:rPr>
                  </w:pPr>
                  <w:r>
                    <w:rPr>
                      <w:rFonts w:hint="default" w:ascii="Times New Roman" w:hAnsi="Times New Roman" w:cs="Times New Roman"/>
                      <w:lang w:val="en-US" w:eastAsia="zh-CN"/>
                    </w:rPr>
                    <w:t>0.654万片/d</w:t>
                  </w:r>
                </w:p>
              </w:tc>
              <w:tc>
                <w:tcPr>
                  <w:tcW w:w="1711" w:type="dxa"/>
                  <w:vAlign w:val="center"/>
                </w:tcPr>
                <w:p w14:paraId="2257C4B5">
                  <w:pPr>
                    <w:pStyle w:val="24"/>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cs="Times New Roman"/>
                      <w:lang w:val="en-US" w:eastAsia="zh-CN"/>
                    </w:rPr>
                  </w:pPr>
                  <w:r>
                    <w:rPr>
                      <w:rFonts w:hint="default" w:ascii="Times New Roman" w:hAnsi="Times New Roman" w:cs="Times New Roman"/>
                      <w:lang w:val="en-US" w:eastAsia="zh-CN"/>
                    </w:rPr>
                    <w:t>0.654万片/d</w:t>
                  </w:r>
                </w:p>
              </w:tc>
              <w:tc>
                <w:tcPr>
                  <w:tcW w:w="1711" w:type="dxa"/>
                  <w:vAlign w:val="center"/>
                </w:tcPr>
                <w:p w14:paraId="02355120">
                  <w:pPr>
                    <w:pStyle w:val="24"/>
                    <w:keepNext w:val="0"/>
                    <w:keepLines w:val="0"/>
                    <w:suppressLineNumbers w:val="0"/>
                    <w:bidi w:val="0"/>
                    <w:spacing w:before="0" w:beforeAutospacing="0" w:after="0" w:afterAutospacing="0"/>
                    <w:ind w:left="0" w:right="0"/>
                    <w:rPr>
                      <w:rFonts w:hint="default" w:ascii="Times New Roman" w:hAnsi="Times New Roman" w:cs="Times New Roman"/>
                    </w:rPr>
                  </w:pPr>
                  <w:r>
                    <w:rPr>
                      <w:rFonts w:hint="default" w:ascii="Times New Roman" w:hAnsi="Times New Roman" w:cs="Times New Roman"/>
                      <w:lang w:val="en-US" w:eastAsia="zh-CN"/>
                    </w:rPr>
                    <w:t>100</w:t>
                  </w:r>
                  <w:r>
                    <w:rPr>
                      <w:rFonts w:hint="default" w:ascii="Times New Roman" w:hAnsi="Times New Roman" w:cs="Times New Roman"/>
                    </w:rPr>
                    <w:t>%</w:t>
                  </w:r>
                </w:p>
              </w:tc>
            </w:tr>
            <w:tr w14:paraId="60F8E0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1711" w:type="dxa"/>
                  <w:shd w:val="clear" w:color="auto" w:fill="auto"/>
                  <w:vAlign w:val="center"/>
                </w:tcPr>
                <w:p w14:paraId="2E903074">
                  <w:pPr>
                    <w:pStyle w:val="24"/>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端面密封件</w:t>
                  </w:r>
                </w:p>
              </w:tc>
              <w:tc>
                <w:tcPr>
                  <w:tcW w:w="1711" w:type="dxa"/>
                  <w:shd w:val="clear" w:color="auto" w:fill="auto"/>
                  <w:vAlign w:val="center"/>
                </w:tcPr>
                <w:p w14:paraId="12EB7E5D">
                  <w:pPr>
                    <w:pStyle w:val="24"/>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0"/>
                      <w:highlight w:val="none"/>
                      <w:lang w:val="en-US" w:eastAsia="zh-CN" w:bidi="ar"/>
                    </w:rPr>
                  </w:pPr>
                  <w:r>
                    <w:rPr>
                      <w:rFonts w:hint="default" w:ascii="Times New Roman" w:hAnsi="Times New Roman" w:cs="Times New Roman"/>
                      <w:kern w:val="2"/>
                      <w:sz w:val="21"/>
                      <w:szCs w:val="20"/>
                      <w:highlight w:val="none"/>
                      <w:lang w:val="en-US" w:eastAsia="zh-CN" w:bidi="ar"/>
                    </w:rPr>
                    <w:t>2025.12.23</w:t>
                  </w:r>
                </w:p>
              </w:tc>
              <w:tc>
                <w:tcPr>
                  <w:tcW w:w="1711" w:type="dxa"/>
                  <w:shd w:val="clear" w:color="auto" w:fill="auto"/>
                  <w:vAlign w:val="center"/>
                </w:tcPr>
                <w:p w14:paraId="4676A3DF">
                  <w:pPr>
                    <w:pStyle w:val="24"/>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0.654万片/d</w:t>
                  </w:r>
                </w:p>
              </w:tc>
              <w:tc>
                <w:tcPr>
                  <w:tcW w:w="1711" w:type="dxa"/>
                  <w:shd w:val="clear" w:color="auto" w:fill="auto"/>
                  <w:vAlign w:val="center"/>
                </w:tcPr>
                <w:p w14:paraId="7E12D5A5">
                  <w:pPr>
                    <w:pStyle w:val="24"/>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0.654万片/d</w:t>
                  </w:r>
                </w:p>
              </w:tc>
              <w:tc>
                <w:tcPr>
                  <w:tcW w:w="1711" w:type="dxa"/>
                  <w:shd w:val="clear" w:color="auto" w:fill="auto"/>
                  <w:vAlign w:val="center"/>
                </w:tcPr>
                <w:p w14:paraId="6FD664C7">
                  <w:pPr>
                    <w:pStyle w:val="24"/>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100</w:t>
                  </w:r>
                  <w:r>
                    <w:rPr>
                      <w:rFonts w:hint="default" w:ascii="Times New Roman" w:hAnsi="Times New Roman" w:cs="Times New Roman"/>
                    </w:rPr>
                    <w:t>%</w:t>
                  </w:r>
                </w:p>
              </w:tc>
            </w:tr>
            <w:tr w14:paraId="24677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1711" w:type="dxa"/>
                  <w:vAlign w:val="center"/>
                </w:tcPr>
                <w:p w14:paraId="4DAE3755">
                  <w:pPr>
                    <w:pStyle w:val="24"/>
                    <w:keepNext w:val="0"/>
                    <w:keepLines w:val="0"/>
                    <w:suppressLineNumbers w:val="0"/>
                    <w:bidi w:val="0"/>
                    <w:spacing w:before="0" w:beforeAutospacing="0" w:after="0" w:afterAutospacing="0"/>
                    <w:ind w:left="0" w:right="0"/>
                    <w:rPr>
                      <w:rFonts w:hint="default" w:ascii="Times New Roman" w:hAnsi="Times New Roman" w:cs="Times New Roman"/>
                      <w:lang w:val="en-US" w:eastAsia="zh-CN"/>
                    </w:rPr>
                  </w:pPr>
                  <w:r>
                    <w:rPr>
                      <w:rFonts w:hint="default" w:ascii="Times New Roman" w:hAnsi="Times New Roman" w:cs="Times New Roman"/>
                      <w:lang w:val="en-US" w:eastAsia="zh-CN"/>
                    </w:rPr>
                    <w:t>端面密封件</w:t>
                  </w:r>
                </w:p>
              </w:tc>
              <w:tc>
                <w:tcPr>
                  <w:tcW w:w="1711" w:type="dxa"/>
                  <w:vAlign w:val="center"/>
                </w:tcPr>
                <w:p w14:paraId="09B3FB47">
                  <w:pPr>
                    <w:pStyle w:val="24"/>
                    <w:keepNext w:val="0"/>
                    <w:keepLines w:val="0"/>
                    <w:suppressLineNumbers w:val="0"/>
                    <w:bidi w:val="0"/>
                    <w:spacing w:before="0" w:beforeAutospacing="0" w:after="0" w:afterAutospacing="0"/>
                    <w:ind w:left="0" w:right="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2025.12.24</w:t>
                  </w:r>
                </w:p>
              </w:tc>
              <w:tc>
                <w:tcPr>
                  <w:tcW w:w="1711" w:type="dxa"/>
                  <w:vAlign w:val="center"/>
                </w:tcPr>
                <w:p w14:paraId="2D4AD4E6">
                  <w:pPr>
                    <w:pStyle w:val="24"/>
                    <w:keepNext w:val="0"/>
                    <w:keepLines w:val="0"/>
                    <w:suppressLineNumbers w:val="0"/>
                    <w:bidi w:val="0"/>
                    <w:spacing w:before="0" w:beforeAutospacing="0" w:after="0" w:afterAutospacing="0"/>
                    <w:ind w:left="0" w:right="0" w:firstLine="0" w:firstLineChars="0"/>
                    <w:rPr>
                      <w:rFonts w:hint="default" w:ascii="Times New Roman" w:hAnsi="Times New Roman" w:cs="Times New Roman"/>
                      <w:lang w:val="en-US" w:eastAsia="zh-CN"/>
                    </w:rPr>
                  </w:pPr>
                  <w:r>
                    <w:rPr>
                      <w:rFonts w:hint="default" w:ascii="Times New Roman" w:hAnsi="Times New Roman" w:cs="Times New Roman"/>
                      <w:lang w:val="en-US" w:eastAsia="zh-CN"/>
                    </w:rPr>
                    <w:t>0.654万片/d</w:t>
                  </w:r>
                </w:p>
              </w:tc>
              <w:tc>
                <w:tcPr>
                  <w:tcW w:w="1711" w:type="dxa"/>
                  <w:vAlign w:val="center"/>
                </w:tcPr>
                <w:p w14:paraId="3A10B234">
                  <w:pPr>
                    <w:pStyle w:val="24"/>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cs="Times New Roman"/>
                      <w:lang w:val="en-US" w:eastAsia="zh-CN"/>
                    </w:rPr>
                  </w:pPr>
                  <w:r>
                    <w:rPr>
                      <w:rFonts w:hint="default" w:ascii="Times New Roman" w:hAnsi="Times New Roman" w:cs="Times New Roman"/>
                      <w:lang w:val="en-US" w:eastAsia="zh-CN"/>
                    </w:rPr>
                    <w:t>0.654万片/d</w:t>
                  </w:r>
                </w:p>
              </w:tc>
              <w:tc>
                <w:tcPr>
                  <w:tcW w:w="1711" w:type="dxa"/>
                  <w:vAlign w:val="center"/>
                </w:tcPr>
                <w:p w14:paraId="1DFA05FB">
                  <w:pPr>
                    <w:pStyle w:val="24"/>
                    <w:keepNext w:val="0"/>
                    <w:keepLines w:val="0"/>
                    <w:suppressLineNumbers w:val="0"/>
                    <w:bidi w:val="0"/>
                    <w:spacing w:before="0" w:beforeAutospacing="0" w:after="0" w:afterAutospacing="0"/>
                    <w:ind w:left="0" w:right="0"/>
                    <w:rPr>
                      <w:rFonts w:hint="default" w:ascii="Times New Roman" w:hAnsi="Times New Roman" w:cs="Times New Roman"/>
                      <w:lang w:val="en-US" w:eastAsia="zh-CN"/>
                    </w:rPr>
                  </w:pPr>
                  <w:r>
                    <w:rPr>
                      <w:rFonts w:hint="default" w:ascii="Times New Roman" w:hAnsi="Times New Roman" w:cs="Times New Roman"/>
                      <w:lang w:val="en-US" w:eastAsia="zh-CN"/>
                    </w:rPr>
                    <w:t>100</w:t>
                  </w:r>
                  <w:r>
                    <w:rPr>
                      <w:rFonts w:hint="default" w:ascii="Times New Roman" w:hAnsi="Times New Roman" w:cs="Times New Roman"/>
                    </w:rPr>
                    <w:t>%</w:t>
                  </w:r>
                </w:p>
              </w:tc>
            </w:tr>
            <w:tr w14:paraId="029CD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1711" w:type="dxa"/>
                  <w:shd w:val="clear" w:color="auto" w:fill="auto"/>
                  <w:vAlign w:val="center"/>
                </w:tcPr>
                <w:p w14:paraId="4C56ACBD">
                  <w:pPr>
                    <w:pStyle w:val="24"/>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端面密封件</w:t>
                  </w:r>
                </w:p>
              </w:tc>
              <w:tc>
                <w:tcPr>
                  <w:tcW w:w="1711" w:type="dxa"/>
                  <w:shd w:val="clear" w:color="auto" w:fill="auto"/>
                  <w:vAlign w:val="center"/>
                </w:tcPr>
                <w:p w14:paraId="7F9A74A7">
                  <w:pPr>
                    <w:pStyle w:val="24"/>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0"/>
                      <w:highlight w:val="none"/>
                      <w:lang w:val="en-US" w:eastAsia="zh-CN" w:bidi="ar"/>
                    </w:rPr>
                  </w:pPr>
                  <w:r>
                    <w:rPr>
                      <w:rFonts w:hint="default" w:ascii="Times New Roman" w:hAnsi="Times New Roman" w:cs="Times New Roman"/>
                      <w:kern w:val="2"/>
                      <w:sz w:val="21"/>
                      <w:szCs w:val="20"/>
                      <w:highlight w:val="none"/>
                      <w:lang w:val="en-US" w:eastAsia="zh-CN" w:bidi="ar"/>
                    </w:rPr>
                    <w:t>2025.12.25</w:t>
                  </w:r>
                </w:p>
              </w:tc>
              <w:tc>
                <w:tcPr>
                  <w:tcW w:w="1711" w:type="dxa"/>
                  <w:shd w:val="clear" w:color="auto" w:fill="auto"/>
                  <w:vAlign w:val="center"/>
                </w:tcPr>
                <w:p w14:paraId="01075106">
                  <w:pPr>
                    <w:pStyle w:val="24"/>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0.654万片/d</w:t>
                  </w:r>
                </w:p>
              </w:tc>
              <w:tc>
                <w:tcPr>
                  <w:tcW w:w="1711" w:type="dxa"/>
                  <w:shd w:val="clear" w:color="auto" w:fill="auto"/>
                  <w:vAlign w:val="center"/>
                </w:tcPr>
                <w:p w14:paraId="3A3298EB">
                  <w:pPr>
                    <w:pStyle w:val="24"/>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0.654万片/d</w:t>
                  </w:r>
                </w:p>
              </w:tc>
              <w:tc>
                <w:tcPr>
                  <w:tcW w:w="1711" w:type="dxa"/>
                  <w:shd w:val="clear" w:color="auto" w:fill="auto"/>
                  <w:vAlign w:val="center"/>
                </w:tcPr>
                <w:p w14:paraId="5027791E">
                  <w:pPr>
                    <w:pStyle w:val="24"/>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default" w:ascii="Times New Roman" w:hAnsi="Times New Roman" w:cs="Times New Roman"/>
                      <w:lang w:val="en-US" w:eastAsia="zh-CN"/>
                    </w:rPr>
                    <w:t>100</w:t>
                  </w:r>
                  <w:r>
                    <w:rPr>
                      <w:rFonts w:hint="default" w:ascii="Times New Roman" w:hAnsi="Times New Roman" w:cs="Times New Roman"/>
                    </w:rPr>
                    <w:t>%</w:t>
                  </w:r>
                </w:p>
              </w:tc>
            </w:tr>
          </w:tbl>
          <w:p w14:paraId="1DD098B5">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tc>
      </w:tr>
      <w:tr w14:paraId="6731E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8924" w:type="dxa"/>
          </w:tcPr>
          <w:p w14:paraId="36A0FF29">
            <w:pPr>
              <w:keepNext w:val="0"/>
              <w:keepLines w:val="0"/>
              <w:widowControl/>
              <w:suppressLineNumbers w:val="0"/>
              <w:spacing w:before="0" w:beforeAutospacing="0" w:after="0" w:afterAutospacing="0" w:line="360" w:lineRule="auto"/>
              <w:ind w:left="0" w:leftChars="0" w:right="0" w:firstLine="0" w:firstLineChars="0"/>
              <w:jc w:val="left"/>
              <w:rPr>
                <w:rFonts w:hint="default" w:ascii="Times New Roman" w:hAnsi="Times New Roman" w:eastAsia="宋体" w:cs="Times New Roman"/>
                <w:b/>
                <w:color w:val="000000"/>
                <w:kern w:val="0"/>
                <w:sz w:val="28"/>
                <w:szCs w:val="28"/>
              </w:rPr>
            </w:pPr>
            <w:r>
              <w:rPr>
                <w:rFonts w:hint="default" w:ascii="Times New Roman" w:hAnsi="Times New Roman" w:eastAsia="宋体" w:cs="Times New Roman"/>
                <w:b/>
                <w:color w:val="000000"/>
                <w:kern w:val="0"/>
                <w:sz w:val="28"/>
                <w:szCs w:val="28"/>
              </w:rPr>
              <w:t>验收监测结果：</w:t>
            </w:r>
          </w:p>
          <w:p w14:paraId="1067D021">
            <w:pPr>
              <w:pStyle w:val="3"/>
              <w:suppressLineNumbers w:val="0"/>
              <w:bidi w:val="0"/>
              <w:spacing w:before="0" w:beforeAutospacing="0" w:after="0" w:afterAutospacing="0"/>
              <w:ind w:left="0" w:right="0"/>
              <w:rPr>
                <w:rFonts w:hint="default" w:ascii="Times New Roman" w:hAnsi="Times New Roman" w:cs="Times New Roman"/>
              </w:rPr>
            </w:pPr>
            <w:r>
              <w:rPr>
                <w:rFonts w:hint="default" w:ascii="Times New Roman" w:hAnsi="Times New Roman" w:cs="Times New Roman"/>
              </w:rPr>
              <w:t xml:space="preserve"> 7.2验收监测结果：</w:t>
            </w:r>
          </w:p>
          <w:p w14:paraId="3E163DBC">
            <w:pPr>
              <w:pStyle w:val="4"/>
              <w:suppressLineNumbers w:val="0"/>
              <w:bidi w:val="0"/>
              <w:spacing w:before="0" w:beforeAutospacing="0" w:after="0" w:afterAutospacing="0"/>
              <w:ind w:left="0" w:right="0"/>
              <w:rPr>
                <w:rFonts w:hint="default" w:ascii="Times New Roman" w:hAnsi="Times New Roman" w:eastAsia="宋体" w:cs="Times New Roman"/>
                <w:b/>
                <w:sz w:val="24"/>
                <w:szCs w:val="32"/>
              </w:rPr>
            </w:pPr>
            <w:r>
              <w:rPr>
                <w:rFonts w:hint="default" w:ascii="Times New Roman" w:hAnsi="Times New Roman" w:eastAsia="仿宋_GB2312" w:cs="Times New Roman"/>
                <w:color w:val="000000" w:themeColor="text1"/>
                <w:kern w:val="0"/>
                <w:szCs w:val="21"/>
                <w14:textFill>
                  <w14:solidFill>
                    <w14:schemeClr w14:val="tx1"/>
                  </w14:solidFill>
                </w14:textFill>
              </w:rPr>
              <w:t xml:space="preserve"> </w:t>
            </w:r>
            <w:r>
              <w:rPr>
                <w:rFonts w:hint="default" w:ascii="Times New Roman" w:hAnsi="Times New Roman" w:eastAsia="宋体" w:cs="Times New Roman"/>
                <w:b/>
                <w:sz w:val="24"/>
                <w:szCs w:val="32"/>
              </w:rPr>
              <w:t>7.2.1废气</w:t>
            </w:r>
          </w:p>
          <w:p w14:paraId="01401CDF">
            <w:pPr>
              <w:keepNext w:val="0"/>
              <w:keepLines w:val="0"/>
              <w:suppressLineNumbers w:val="0"/>
              <w:spacing w:before="0" w:beforeAutospacing="0" w:after="0" w:afterAutospacing="0" w:line="360" w:lineRule="auto"/>
              <w:ind w:left="0" w:right="0"/>
              <w:rPr>
                <w:rFonts w:hint="default" w:ascii="Times New Roman" w:hAnsi="Times New Roman" w:eastAsia="宋体" w:cs="Times New Roman"/>
                <w:sz w:val="24"/>
                <w:szCs w:val="32"/>
              </w:rPr>
            </w:pPr>
            <w:r>
              <w:rPr>
                <w:rFonts w:hint="default" w:ascii="Times New Roman" w:hAnsi="Times New Roman" w:eastAsia="宋体" w:cs="Times New Roman"/>
                <w:sz w:val="24"/>
                <w:szCs w:val="32"/>
              </w:rPr>
              <w:t>（1）无组织废气</w:t>
            </w:r>
          </w:p>
          <w:p w14:paraId="13D79184">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32"/>
              </w:rPr>
            </w:pPr>
            <w:r>
              <w:rPr>
                <w:rFonts w:hint="default" w:ascii="Times New Roman" w:hAnsi="Times New Roman" w:eastAsia="宋体" w:cs="Times New Roman"/>
                <w:sz w:val="24"/>
                <w:szCs w:val="32"/>
              </w:rPr>
              <w:t>监测期间气象参数见表7-2，监测结果见表7-3</w:t>
            </w:r>
            <w:r>
              <w:rPr>
                <w:rFonts w:hint="default" w:ascii="Times New Roman" w:hAnsi="Times New Roman" w:eastAsia="宋体" w:cs="Times New Roman"/>
                <w:sz w:val="24"/>
                <w:szCs w:val="32"/>
                <w:lang w:eastAsia="zh-CN"/>
              </w:rPr>
              <w:t>、表</w:t>
            </w:r>
            <w:r>
              <w:rPr>
                <w:rFonts w:hint="default" w:ascii="Times New Roman" w:hAnsi="Times New Roman" w:eastAsia="宋体" w:cs="Times New Roman"/>
                <w:sz w:val="24"/>
                <w:szCs w:val="32"/>
                <w:lang w:val="en-US" w:eastAsia="zh-CN"/>
              </w:rPr>
              <w:t>7-4</w:t>
            </w:r>
            <w:r>
              <w:rPr>
                <w:rFonts w:hint="default" w:ascii="Times New Roman" w:hAnsi="Times New Roman" w:eastAsia="宋体" w:cs="Times New Roman"/>
                <w:sz w:val="24"/>
                <w:szCs w:val="32"/>
              </w:rPr>
              <w:t>。</w:t>
            </w:r>
          </w:p>
          <w:p w14:paraId="1574CDAF">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sz w:val="24"/>
                <w:szCs w:val="32"/>
              </w:rPr>
            </w:pPr>
            <w:r>
              <w:rPr>
                <w:rFonts w:hint="default" w:ascii="Times New Roman" w:hAnsi="Times New Roman" w:eastAsia="宋体" w:cs="Times New Roman"/>
                <w:b/>
                <w:sz w:val="24"/>
                <w:szCs w:val="32"/>
              </w:rPr>
              <w:t>表7-2 无组织监测期间气象参数</w:t>
            </w:r>
          </w:p>
          <w:tbl>
            <w:tblPr>
              <w:tblStyle w:val="19"/>
              <w:tblW w:w="87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262"/>
              <w:gridCol w:w="1295"/>
              <w:gridCol w:w="1295"/>
              <w:gridCol w:w="1295"/>
              <w:gridCol w:w="1295"/>
              <w:gridCol w:w="1296"/>
            </w:tblGrid>
            <w:tr w14:paraId="635CE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2" w:hRule="atLeast"/>
                <w:jc w:val="center"/>
              </w:trPr>
              <w:tc>
                <w:tcPr>
                  <w:tcW w:w="2262" w:type="dxa"/>
                  <w:tcBorders>
                    <w:tl2br w:val="nil"/>
                    <w:tr2bl w:val="nil"/>
                  </w:tcBorders>
                  <w:vAlign w:val="center"/>
                </w:tcPr>
                <w:p w14:paraId="0CBF5252">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日期</w:t>
                  </w:r>
                </w:p>
              </w:tc>
              <w:tc>
                <w:tcPr>
                  <w:tcW w:w="1295" w:type="dxa"/>
                  <w:tcBorders>
                    <w:tl2br w:val="nil"/>
                    <w:tr2bl w:val="nil"/>
                  </w:tcBorders>
                  <w:vAlign w:val="center"/>
                </w:tcPr>
                <w:p w14:paraId="2103627A">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温度(℃)</w:t>
                  </w:r>
                </w:p>
              </w:tc>
              <w:tc>
                <w:tcPr>
                  <w:tcW w:w="1295" w:type="dxa"/>
                  <w:tcBorders>
                    <w:tl2br w:val="nil"/>
                    <w:tr2bl w:val="nil"/>
                  </w:tcBorders>
                  <w:vAlign w:val="center"/>
                </w:tcPr>
                <w:p w14:paraId="74385488">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湿度(%)</w:t>
                  </w:r>
                </w:p>
              </w:tc>
              <w:tc>
                <w:tcPr>
                  <w:tcW w:w="1295" w:type="dxa"/>
                  <w:tcBorders>
                    <w:tl2br w:val="nil"/>
                    <w:tr2bl w:val="nil"/>
                  </w:tcBorders>
                  <w:vAlign w:val="center"/>
                </w:tcPr>
                <w:p w14:paraId="2FA5986A">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大气压(kPa)</w:t>
                  </w:r>
                </w:p>
              </w:tc>
              <w:tc>
                <w:tcPr>
                  <w:tcW w:w="1295" w:type="dxa"/>
                  <w:tcBorders>
                    <w:tl2br w:val="nil"/>
                    <w:tr2bl w:val="nil"/>
                  </w:tcBorders>
                  <w:vAlign w:val="center"/>
                </w:tcPr>
                <w:p w14:paraId="797BE72E">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风速(m/s)</w:t>
                  </w:r>
                </w:p>
              </w:tc>
              <w:tc>
                <w:tcPr>
                  <w:tcW w:w="1296" w:type="dxa"/>
                  <w:tcBorders>
                    <w:tl2br w:val="nil"/>
                    <w:tr2bl w:val="nil"/>
                  </w:tcBorders>
                  <w:vAlign w:val="center"/>
                </w:tcPr>
                <w:p w14:paraId="659BFCF7">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风向</w:t>
                  </w:r>
                </w:p>
              </w:tc>
            </w:tr>
            <w:tr w14:paraId="66434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2" w:hRule="atLeast"/>
                <w:jc w:val="center"/>
              </w:trPr>
              <w:tc>
                <w:tcPr>
                  <w:tcW w:w="2262" w:type="dxa"/>
                  <w:tcBorders>
                    <w:tl2br w:val="nil"/>
                    <w:tr2bl w:val="nil"/>
                  </w:tcBorders>
                  <w:shd w:val="clear" w:color="auto" w:fill="auto"/>
                  <w:vAlign w:val="center"/>
                </w:tcPr>
                <w:p w14:paraId="7856ABAB">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2025.12.22</w:t>
                  </w:r>
                </w:p>
              </w:tc>
              <w:tc>
                <w:tcPr>
                  <w:tcW w:w="1295" w:type="dxa"/>
                  <w:tcBorders>
                    <w:tl2br w:val="nil"/>
                    <w:tr2bl w:val="nil"/>
                  </w:tcBorders>
                  <w:shd w:val="clear" w:color="auto" w:fill="auto"/>
                  <w:vAlign w:val="center"/>
                </w:tcPr>
                <w:p w14:paraId="7E77E2BB">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10.8-16.4</w:t>
                  </w:r>
                </w:p>
              </w:tc>
              <w:tc>
                <w:tcPr>
                  <w:tcW w:w="1295" w:type="dxa"/>
                  <w:tcBorders>
                    <w:tl2br w:val="nil"/>
                    <w:tr2bl w:val="nil"/>
                  </w:tcBorders>
                  <w:shd w:val="clear" w:color="auto" w:fill="auto"/>
                  <w:vAlign w:val="center"/>
                </w:tcPr>
                <w:p w14:paraId="0BB2E64B">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56.7-57.9</w:t>
                  </w:r>
                </w:p>
              </w:tc>
              <w:tc>
                <w:tcPr>
                  <w:tcW w:w="1295" w:type="dxa"/>
                  <w:tcBorders>
                    <w:tl2br w:val="nil"/>
                    <w:tr2bl w:val="nil"/>
                  </w:tcBorders>
                  <w:shd w:val="clear" w:color="auto" w:fill="auto"/>
                  <w:vAlign w:val="center"/>
                </w:tcPr>
                <w:p w14:paraId="7DE1EDE1">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102.0-102.2</w:t>
                  </w:r>
                </w:p>
              </w:tc>
              <w:tc>
                <w:tcPr>
                  <w:tcW w:w="1295" w:type="dxa"/>
                  <w:tcBorders>
                    <w:tl2br w:val="nil"/>
                    <w:tr2bl w:val="nil"/>
                  </w:tcBorders>
                  <w:shd w:val="clear" w:color="auto" w:fill="auto"/>
                  <w:vAlign w:val="center"/>
                </w:tcPr>
                <w:p w14:paraId="26DF66AB">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1.2-2.1</w:t>
                  </w:r>
                </w:p>
              </w:tc>
              <w:tc>
                <w:tcPr>
                  <w:tcW w:w="1296" w:type="dxa"/>
                  <w:tcBorders>
                    <w:tl2br w:val="nil"/>
                    <w:tr2bl w:val="nil"/>
                  </w:tcBorders>
                  <w:shd w:val="clear" w:color="auto" w:fill="auto"/>
                  <w:vAlign w:val="center"/>
                </w:tcPr>
                <w:p w14:paraId="2D76E110">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西北</w:t>
                  </w:r>
                </w:p>
              </w:tc>
            </w:tr>
            <w:tr w14:paraId="64154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jc w:val="center"/>
              </w:trPr>
              <w:tc>
                <w:tcPr>
                  <w:tcW w:w="2262" w:type="dxa"/>
                  <w:tcBorders>
                    <w:tl2br w:val="nil"/>
                    <w:tr2bl w:val="nil"/>
                  </w:tcBorders>
                  <w:shd w:val="clear" w:color="auto" w:fill="auto"/>
                  <w:vAlign w:val="center"/>
                </w:tcPr>
                <w:p w14:paraId="30E1B8FE">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2025.12.25</w:t>
                  </w:r>
                </w:p>
              </w:tc>
              <w:tc>
                <w:tcPr>
                  <w:tcW w:w="1295" w:type="dxa"/>
                  <w:tcBorders>
                    <w:tl2br w:val="nil"/>
                    <w:tr2bl w:val="nil"/>
                  </w:tcBorders>
                  <w:shd w:val="clear" w:color="auto" w:fill="auto"/>
                  <w:vAlign w:val="center"/>
                </w:tcPr>
                <w:p w14:paraId="71151255">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7.1-16.5</w:t>
                  </w:r>
                </w:p>
              </w:tc>
              <w:tc>
                <w:tcPr>
                  <w:tcW w:w="1295" w:type="dxa"/>
                  <w:tcBorders>
                    <w:tl2br w:val="nil"/>
                    <w:tr2bl w:val="nil"/>
                  </w:tcBorders>
                  <w:shd w:val="clear" w:color="auto" w:fill="auto"/>
                  <w:vAlign w:val="center"/>
                </w:tcPr>
                <w:p w14:paraId="2F960DCF">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36.0-45.0</w:t>
                  </w:r>
                </w:p>
              </w:tc>
              <w:tc>
                <w:tcPr>
                  <w:tcW w:w="1295" w:type="dxa"/>
                  <w:tcBorders>
                    <w:tl2br w:val="nil"/>
                    <w:tr2bl w:val="nil"/>
                  </w:tcBorders>
                  <w:shd w:val="clear" w:color="auto" w:fill="auto"/>
                  <w:vAlign w:val="center"/>
                </w:tcPr>
                <w:p w14:paraId="2423A772">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102.9-103.2</w:t>
                  </w:r>
                </w:p>
              </w:tc>
              <w:tc>
                <w:tcPr>
                  <w:tcW w:w="1295" w:type="dxa"/>
                  <w:tcBorders>
                    <w:tl2br w:val="nil"/>
                    <w:tr2bl w:val="nil"/>
                  </w:tcBorders>
                  <w:shd w:val="clear" w:color="auto" w:fill="auto"/>
                  <w:vAlign w:val="center"/>
                </w:tcPr>
                <w:p w14:paraId="44AD4433">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1.5-1.8</w:t>
                  </w:r>
                </w:p>
              </w:tc>
              <w:tc>
                <w:tcPr>
                  <w:tcW w:w="1296" w:type="dxa"/>
                  <w:tcBorders>
                    <w:tl2br w:val="nil"/>
                    <w:tr2bl w:val="nil"/>
                  </w:tcBorders>
                  <w:shd w:val="clear" w:color="auto" w:fill="auto"/>
                  <w:vAlign w:val="center"/>
                </w:tcPr>
                <w:p w14:paraId="7C0C0B62">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西北</w:t>
                  </w:r>
                </w:p>
              </w:tc>
            </w:tr>
          </w:tbl>
          <w:p w14:paraId="22711B6E">
            <w:pPr>
              <w:keepNext w:val="0"/>
              <w:keepLines w:val="0"/>
              <w:suppressLineNumbers w:val="0"/>
              <w:spacing w:before="48" w:beforeLines="20" w:beforeAutospacing="0" w:after="0" w:afterAutospacing="0" w:line="440" w:lineRule="exact"/>
              <w:ind w:left="0" w:right="0"/>
              <w:jc w:val="center"/>
              <w:rPr>
                <w:rFonts w:hint="default" w:ascii="Times New Roman" w:hAnsi="Times New Roman" w:eastAsia="宋体" w:cs="Times New Roman"/>
                <w:b/>
                <w:sz w:val="24"/>
                <w:szCs w:val="24"/>
                <w:vertAlign w:val="superscript"/>
              </w:rPr>
            </w:pPr>
            <w:r>
              <w:rPr>
                <w:rFonts w:hint="default" w:ascii="Times New Roman" w:hAnsi="Times New Roman" w:eastAsia="宋体" w:cs="Times New Roman"/>
                <w:b/>
                <w:sz w:val="24"/>
                <w:szCs w:val="24"/>
              </w:rPr>
              <w:t>表7-3 无组织排放废气监测结果 单位mg/m</w:t>
            </w:r>
            <w:r>
              <w:rPr>
                <w:rFonts w:hint="default" w:ascii="Times New Roman" w:hAnsi="Times New Roman" w:eastAsia="宋体" w:cs="Times New Roman"/>
                <w:b/>
                <w:sz w:val="24"/>
                <w:szCs w:val="24"/>
                <w:vertAlign w:val="superscript"/>
              </w:rPr>
              <w:t>3</w:t>
            </w:r>
          </w:p>
          <w:tbl>
            <w:tblPr>
              <w:tblStyle w:val="19"/>
              <w:tblW w:w="498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fixed"/>
              <w:tblCellMar>
                <w:top w:w="0" w:type="dxa"/>
                <w:left w:w="108" w:type="dxa"/>
                <w:bottom w:w="0" w:type="dxa"/>
                <w:right w:w="108" w:type="dxa"/>
              </w:tblCellMar>
            </w:tblPr>
            <w:tblGrid>
              <w:gridCol w:w="1885"/>
              <w:gridCol w:w="1364"/>
              <w:gridCol w:w="1977"/>
              <w:gridCol w:w="1147"/>
              <w:gridCol w:w="1151"/>
              <w:gridCol w:w="1150"/>
              <w:gridCol w:w="4"/>
            </w:tblGrid>
            <w:tr w14:paraId="2E867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231" w:hRule="atLeast"/>
              </w:trPr>
              <w:tc>
                <w:tcPr>
                  <w:tcW w:w="1885" w:type="dxa"/>
                  <w:vMerge w:val="restart"/>
                  <w:tcBorders>
                    <w:tl2br w:val="nil"/>
                    <w:tr2bl w:val="nil"/>
                  </w:tcBorders>
                  <w:shd w:val="clear" w:color="auto" w:fill="FFFFFF" w:themeFill="background1"/>
                  <w:noWrap w:val="0"/>
                  <w:vAlign w:val="center"/>
                </w:tcPr>
                <w:p w14:paraId="260032A4">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检测项目</w:t>
                  </w:r>
                </w:p>
              </w:tc>
              <w:tc>
                <w:tcPr>
                  <w:tcW w:w="1364" w:type="dxa"/>
                  <w:vMerge w:val="restart"/>
                  <w:tcBorders>
                    <w:tl2br w:val="nil"/>
                    <w:tr2bl w:val="nil"/>
                  </w:tcBorders>
                  <w:shd w:val="clear" w:color="auto" w:fill="FFFFFF" w:themeFill="background1"/>
                  <w:noWrap w:val="0"/>
                  <w:vAlign w:val="center"/>
                </w:tcPr>
                <w:p w14:paraId="6C54F749">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采样日期</w:t>
                  </w:r>
                </w:p>
              </w:tc>
              <w:tc>
                <w:tcPr>
                  <w:tcW w:w="1977" w:type="dxa"/>
                  <w:vMerge w:val="restart"/>
                  <w:tcBorders>
                    <w:tl2br w:val="nil"/>
                    <w:tr2bl w:val="nil"/>
                  </w:tcBorders>
                  <w:shd w:val="clear" w:color="auto" w:fill="FFFFFF" w:themeFill="background1"/>
                  <w:noWrap w:val="0"/>
                  <w:vAlign w:val="center"/>
                </w:tcPr>
                <w:p w14:paraId="01DBD6A3">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采样点位</w:t>
                  </w:r>
                </w:p>
              </w:tc>
              <w:tc>
                <w:tcPr>
                  <w:tcW w:w="3452" w:type="dxa"/>
                  <w:gridSpan w:val="4"/>
                  <w:tcBorders>
                    <w:tl2br w:val="nil"/>
                    <w:tr2bl w:val="nil"/>
                  </w:tcBorders>
                  <w:shd w:val="clear" w:color="auto" w:fill="FFFFFF" w:themeFill="background1"/>
                  <w:noWrap w:val="0"/>
                  <w:vAlign w:val="center"/>
                </w:tcPr>
                <w:p w14:paraId="18DF2DA9">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检测结果</w:t>
                  </w:r>
                </w:p>
              </w:tc>
            </w:tr>
            <w:tr w14:paraId="75CA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238" w:hRule="atLeast"/>
              </w:trPr>
              <w:tc>
                <w:tcPr>
                  <w:tcW w:w="1885" w:type="dxa"/>
                  <w:vMerge w:val="continue"/>
                  <w:tcBorders>
                    <w:tl2br w:val="nil"/>
                    <w:tr2bl w:val="nil"/>
                  </w:tcBorders>
                  <w:shd w:val="clear" w:color="auto" w:fill="FFFFFF" w:themeFill="background1"/>
                  <w:noWrap w:val="0"/>
                  <w:vAlign w:val="center"/>
                </w:tcPr>
                <w:p w14:paraId="3C9D7DF6">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3E9B91B9">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vMerge w:val="continue"/>
                  <w:tcBorders>
                    <w:tl2br w:val="nil"/>
                    <w:tr2bl w:val="nil"/>
                  </w:tcBorders>
                  <w:shd w:val="clear" w:color="auto" w:fill="FFFFFF" w:themeFill="background1"/>
                  <w:noWrap w:val="0"/>
                  <w:vAlign w:val="center"/>
                </w:tcPr>
                <w:p w14:paraId="5FB66147">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147" w:type="dxa"/>
                  <w:tcBorders>
                    <w:tl2br w:val="nil"/>
                    <w:tr2bl w:val="nil"/>
                  </w:tcBorders>
                  <w:shd w:val="clear" w:color="auto" w:fill="FFFFFF" w:themeFill="background1"/>
                  <w:noWrap w:val="0"/>
                  <w:vAlign w:val="center"/>
                </w:tcPr>
                <w:p w14:paraId="13FB6717">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第1次</w:t>
                  </w:r>
                </w:p>
              </w:tc>
              <w:tc>
                <w:tcPr>
                  <w:tcW w:w="1151" w:type="dxa"/>
                  <w:tcBorders>
                    <w:tl2br w:val="nil"/>
                    <w:tr2bl w:val="nil"/>
                  </w:tcBorders>
                  <w:shd w:val="clear" w:color="auto" w:fill="FFFFFF" w:themeFill="background1"/>
                  <w:noWrap w:val="0"/>
                  <w:vAlign w:val="center"/>
                </w:tcPr>
                <w:p w14:paraId="4742C613">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第2次</w:t>
                  </w:r>
                </w:p>
              </w:tc>
              <w:tc>
                <w:tcPr>
                  <w:tcW w:w="1150" w:type="dxa"/>
                  <w:tcBorders>
                    <w:tl2br w:val="nil"/>
                    <w:tr2bl w:val="nil"/>
                  </w:tcBorders>
                  <w:shd w:val="clear" w:color="auto" w:fill="FFFFFF" w:themeFill="background1"/>
                  <w:noWrap w:val="0"/>
                  <w:vAlign w:val="center"/>
                </w:tcPr>
                <w:p w14:paraId="3425B33D">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第3次</w:t>
                  </w:r>
                </w:p>
              </w:tc>
            </w:tr>
            <w:tr w14:paraId="6E491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327" w:hRule="atLeast"/>
              </w:trPr>
              <w:tc>
                <w:tcPr>
                  <w:tcW w:w="1885" w:type="dxa"/>
                  <w:vMerge w:val="restart"/>
                  <w:tcBorders>
                    <w:tl2br w:val="nil"/>
                    <w:tr2bl w:val="nil"/>
                  </w:tcBorders>
                  <w:shd w:val="clear" w:color="auto" w:fill="FFFFFF" w:themeFill="background1"/>
                  <w:noWrap w:val="0"/>
                  <w:vAlign w:val="center"/>
                </w:tcPr>
                <w:p w14:paraId="56817C57">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lang w:val="en-US" w:eastAsia="zh-CN"/>
                    </w:rPr>
                    <w:t>颗粒物</w:t>
                  </w:r>
                  <w:r>
                    <w:rPr>
                      <w:rFonts w:hint="default" w:ascii="Times New Roman" w:hAnsi="Times New Roman" w:cs="Times New Roman"/>
                    </w:rPr>
                    <w:t>(</w:t>
                  </w:r>
                  <w:r>
                    <w:rPr>
                      <w:rFonts w:hint="default" w:ascii="Times New Roman" w:hAnsi="Times New Roman" w:cs="Times New Roman"/>
                      <w:lang w:val="en-US" w:eastAsia="zh-CN"/>
                    </w:rPr>
                    <w:t>u</w:t>
                  </w:r>
                  <w:r>
                    <w:rPr>
                      <w:rFonts w:hint="default" w:ascii="Times New Roman" w:hAnsi="Times New Roman" w:cs="Times New Roman"/>
                    </w:rPr>
                    <w:t>g/m³)</w:t>
                  </w:r>
                </w:p>
              </w:tc>
              <w:tc>
                <w:tcPr>
                  <w:tcW w:w="1364" w:type="dxa"/>
                  <w:vMerge w:val="restart"/>
                  <w:tcBorders>
                    <w:tl2br w:val="nil"/>
                    <w:tr2bl w:val="nil"/>
                  </w:tcBorders>
                  <w:shd w:val="clear" w:color="auto" w:fill="FFFFFF" w:themeFill="background1"/>
                  <w:noWrap w:val="0"/>
                  <w:vAlign w:val="center"/>
                </w:tcPr>
                <w:p w14:paraId="197FF887">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2025.12.22</w:t>
                  </w:r>
                </w:p>
              </w:tc>
              <w:tc>
                <w:tcPr>
                  <w:tcW w:w="1977" w:type="dxa"/>
                  <w:tcBorders>
                    <w:tl2br w:val="nil"/>
                    <w:tr2bl w:val="nil"/>
                  </w:tcBorders>
                  <w:shd w:val="clear" w:color="auto" w:fill="FFFFFF" w:themeFill="background1"/>
                  <w:noWrap w:val="0"/>
                  <w:vAlign w:val="center"/>
                </w:tcPr>
                <w:p w14:paraId="42C7367F">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上风向G1</w:t>
                  </w:r>
                </w:p>
              </w:tc>
              <w:tc>
                <w:tcPr>
                  <w:tcW w:w="1147" w:type="dxa"/>
                  <w:tcBorders>
                    <w:tl2br w:val="nil"/>
                    <w:tr2bl w:val="nil"/>
                  </w:tcBorders>
                  <w:shd w:val="clear" w:color="auto" w:fill="FFFFFF" w:themeFill="background1"/>
                  <w:noWrap w:val="0"/>
                  <w:vAlign w:val="center"/>
                </w:tcPr>
                <w:p w14:paraId="6B18F91A">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80</w:t>
                  </w:r>
                </w:p>
              </w:tc>
              <w:tc>
                <w:tcPr>
                  <w:tcW w:w="1151" w:type="dxa"/>
                  <w:tcBorders>
                    <w:tl2br w:val="nil"/>
                    <w:tr2bl w:val="nil"/>
                  </w:tcBorders>
                  <w:shd w:val="clear" w:color="auto" w:fill="FFFFFF" w:themeFill="background1"/>
                  <w:noWrap w:val="0"/>
                  <w:vAlign w:val="center"/>
                </w:tcPr>
                <w:p w14:paraId="797CB426">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78</w:t>
                  </w:r>
                </w:p>
              </w:tc>
              <w:tc>
                <w:tcPr>
                  <w:tcW w:w="1150" w:type="dxa"/>
                  <w:tcBorders>
                    <w:tl2br w:val="nil"/>
                    <w:tr2bl w:val="nil"/>
                  </w:tcBorders>
                  <w:shd w:val="clear" w:color="auto" w:fill="FFFFFF" w:themeFill="background1"/>
                  <w:noWrap w:val="0"/>
                  <w:vAlign w:val="center"/>
                </w:tcPr>
                <w:p w14:paraId="4C8D85CB">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87</w:t>
                  </w:r>
                </w:p>
              </w:tc>
            </w:tr>
            <w:tr w14:paraId="22027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327" w:hRule="atLeast"/>
              </w:trPr>
              <w:tc>
                <w:tcPr>
                  <w:tcW w:w="1885" w:type="dxa"/>
                  <w:vMerge w:val="continue"/>
                  <w:tcBorders>
                    <w:tl2br w:val="nil"/>
                    <w:tr2bl w:val="nil"/>
                  </w:tcBorders>
                  <w:shd w:val="clear" w:color="auto" w:fill="FFFFFF" w:themeFill="background1"/>
                  <w:noWrap w:val="0"/>
                  <w:vAlign w:val="center"/>
                </w:tcPr>
                <w:p w14:paraId="781D7717">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29FF86F2">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50CF930C">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下风向G2</w:t>
                  </w:r>
                </w:p>
              </w:tc>
              <w:tc>
                <w:tcPr>
                  <w:tcW w:w="1147" w:type="dxa"/>
                  <w:tcBorders>
                    <w:tl2br w:val="nil"/>
                    <w:tr2bl w:val="nil"/>
                  </w:tcBorders>
                  <w:shd w:val="clear" w:color="auto" w:fill="FFFFFF" w:themeFill="background1"/>
                  <w:noWrap w:val="0"/>
                  <w:vAlign w:val="center"/>
                </w:tcPr>
                <w:p w14:paraId="20247B6A">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103</w:t>
                  </w:r>
                </w:p>
              </w:tc>
              <w:tc>
                <w:tcPr>
                  <w:tcW w:w="1151" w:type="dxa"/>
                  <w:tcBorders>
                    <w:tl2br w:val="nil"/>
                    <w:tr2bl w:val="nil"/>
                  </w:tcBorders>
                  <w:shd w:val="clear" w:color="auto" w:fill="FFFFFF" w:themeFill="background1"/>
                  <w:noWrap w:val="0"/>
                  <w:vAlign w:val="center"/>
                </w:tcPr>
                <w:p w14:paraId="74BCCE60">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105</w:t>
                  </w:r>
                </w:p>
              </w:tc>
              <w:tc>
                <w:tcPr>
                  <w:tcW w:w="1150" w:type="dxa"/>
                  <w:tcBorders>
                    <w:tl2br w:val="nil"/>
                    <w:tr2bl w:val="nil"/>
                  </w:tcBorders>
                  <w:shd w:val="clear" w:color="auto" w:fill="FFFFFF" w:themeFill="background1"/>
                  <w:noWrap w:val="0"/>
                  <w:vAlign w:val="center"/>
                </w:tcPr>
                <w:p w14:paraId="3BBFCCFC">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112</w:t>
                  </w:r>
                </w:p>
              </w:tc>
            </w:tr>
            <w:tr w14:paraId="46D05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327" w:hRule="atLeast"/>
              </w:trPr>
              <w:tc>
                <w:tcPr>
                  <w:tcW w:w="1885" w:type="dxa"/>
                  <w:vMerge w:val="continue"/>
                  <w:tcBorders>
                    <w:tl2br w:val="nil"/>
                    <w:tr2bl w:val="nil"/>
                  </w:tcBorders>
                  <w:shd w:val="clear" w:color="auto" w:fill="FFFFFF" w:themeFill="background1"/>
                  <w:noWrap w:val="0"/>
                  <w:vAlign w:val="center"/>
                </w:tcPr>
                <w:p w14:paraId="44C89DE9">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06BB2C4F">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7217CF78">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下风向G3</w:t>
                  </w:r>
                </w:p>
              </w:tc>
              <w:tc>
                <w:tcPr>
                  <w:tcW w:w="1147" w:type="dxa"/>
                  <w:tcBorders>
                    <w:tl2br w:val="nil"/>
                    <w:tr2bl w:val="nil"/>
                  </w:tcBorders>
                  <w:shd w:val="clear" w:color="auto" w:fill="FFFFFF" w:themeFill="background1"/>
                  <w:noWrap w:val="0"/>
                  <w:vAlign w:val="center"/>
                </w:tcPr>
                <w:p w14:paraId="283B715C">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124</w:t>
                  </w:r>
                </w:p>
              </w:tc>
              <w:tc>
                <w:tcPr>
                  <w:tcW w:w="1151" w:type="dxa"/>
                  <w:tcBorders>
                    <w:tl2br w:val="nil"/>
                    <w:tr2bl w:val="nil"/>
                  </w:tcBorders>
                  <w:shd w:val="clear" w:color="auto" w:fill="FFFFFF" w:themeFill="background1"/>
                  <w:noWrap w:val="0"/>
                  <w:vAlign w:val="center"/>
                </w:tcPr>
                <w:p w14:paraId="7810F297">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105</w:t>
                  </w:r>
                </w:p>
              </w:tc>
              <w:tc>
                <w:tcPr>
                  <w:tcW w:w="1150" w:type="dxa"/>
                  <w:tcBorders>
                    <w:tl2br w:val="nil"/>
                    <w:tr2bl w:val="nil"/>
                  </w:tcBorders>
                  <w:shd w:val="clear" w:color="auto" w:fill="FFFFFF" w:themeFill="background1"/>
                  <w:noWrap w:val="0"/>
                  <w:vAlign w:val="center"/>
                </w:tcPr>
                <w:p w14:paraId="6F52C088">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115</w:t>
                  </w:r>
                </w:p>
              </w:tc>
            </w:tr>
            <w:tr w14:paraId="5B038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327" w:hRule="atLeast"/>
              </w:trPr>
              <w:tc>
                <w:tcPr>
                  <w:tcW w:w="1885" w:type="dxa"/>
                  <w:vMerge w:val="continue"/>
                  <w:tcBorders>
                    <w:tl2br w:val="nil"/>
                    <w:tr2bl w:val="nil"/>
                  </w:tcBorders>
                  <w:shd w:val="clear" w:color="auto" w:fill="FFFFFF" w:themeFill="background1"/>
                  <w:noWrap w:val="0"/>
                  <w:vAlign w:val="center"/>
                </w:tcPr>
                <w:p w14:paraId="06F28483">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1EA1BEF7">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0A793169">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下风向G4</w:t>
                  </w:r>
                </w:p>
              </w:tc>
              <w:tc>
                <w:tcPr>
                  <w:tcW w:w="1147" w:type="dxa"/>
                  <w:tcBorders>
                    <w:tl2br w:val="nil"/>
                    <w:tr2bl w:val="nil"/>
                  </w:tcBorders>
                  <w:shd w:val="clear" w:color="auto" w:fill="FFFFFF" w:themeFill="background1"/>
                  <w:noWrap w:val="0"/>
                  <w:vAlign w:val="center"/>
                </w:tcPr>
                <w:p w14:paraId="4A311270">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112</w:t>
                  </w:r>
                </w:p>
              </w:tc>
              <w:tc>
                <w:tcPr>
                  <w:tcW w:w="1151" w:type="dxa"/>
                  <w:tcBorders>
                    <w:tl2br w:val="nil"/>
                    <w:tr2bl w:val="nil"/>
                  </w:tcBorders>
                  <w:shd w:val="clear" w:color="auto" w:fill="FFFFFF" w:themeFill="background1"/>
                  <w:noWrap w:val="0"/>
                  <w:vAlign w:val="center"/>
                </w:tcPr>
                <w:p w14:paraId="41BD937A">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109</w:t>
                  </w:r>
                </w:p>
              </w:tc>
              <w:tc>
                <w:tcPr>
                  <w:tcW w:w="1150" w:type="dxa"/>
                  <w:tcBorders>
                    <w:tl2br w:val="nil"/>
                    <w:tr2bl w:val="nil"/>
                  </w:tcBorders>
                  <w:shd w:val="clear" w:color="auto" w:fill="FFFFFF" w:themeFill="background1"/>
                  <w:noWrap w:val="0"/>
                  <w:vAlign w:val="center"/>
                </w:tcPr>
                <w:p w14:paraId="0044A91E">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119</w:t>
                  </w:r>
                </w:p>
              </w:tc>
            </w:tr>
            <w:tr w14:paraId="57AF3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gridAfter w:val="1"/>
                <w:wAfter w:w="4" w:type="dxa"/>
                <w:trHeight w:val="327" w:hRule="atLeast"/>
              </w:trPr>
              <w:tc>
                <w:tcPr>
                  <w:tcW w:w="1885" w:type="dxa"/>
                  <w:vMerge w:val="continue"/>
                  <w:tcBorders>
                    <w:tl2br w:val="nil"/>
                    <w:tr2bl w:val="nil"/>
                  </w:tcBorders>
                  <w:shd w:val="clear" w:color="auto" w:fill="FFFFFF" w:themeFill="background1"/>
                  <w:noWrap w:val="0"/>
                  <w:vAlign w:val="center"/>
                </w:tcPr>
                <w:p w14:paraId="6D5298FB">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restart"/>
                  <w:tcBorders>
                    <w:tl2br w:val="nil"/>
                    <w:tr2bl w:val="nil"/>
                  </w:tcBorders>
                  <w:shd w:val="clear" w:color="auto" w:fill="FFFFFF" w:themeFill="background1"/>
                  <w:noWrap w:val="0"/>
                  <w:vAlign w:val="center"/>
                </w:tcPr>
                <w:p w14:paraId="0A54D357">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2025.12.25</w:t>
                  </w:r>
                </w:p>
              </w:tc>
              <w:tc>
                <w:tcPr>
                  <w:tcW w:w="1977" w:type="dxa"/>
                  <w:tcBorders>
                    <w:tl2br w:val="nil"/>
                    <w:tr2bl w:val="nil"/>
                  </w:tcBorders>
                  <w:shd w:val="clear" w:color="auto" w:fill="FFFFFF" w:themeFill="background1"/>
                  <w:noWrap w:val="0"/>
                  <w:vAlign w:val="center"/>
                </w:tcPr>
                <w:p w14:paraId="24042E29">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上风向G1</w:t>
                  </w:r>
                </w:p>
              </w:tc>
              <w:tc>
                <w:tcPr>
                  <w:tcW w:w="1147" w:type="dxa"/>
                  <w:tcBorders>
                    <w:tl2br w:val="nil"/>
                    <w:tr2bl w:val="nil"/>
                  </w:tcBorders>
                  <w:shd w:val="clear" w:color="auto" w:fill="FFFFFF" w:themeFill="background1"/>
                  <w:noWrap w:val="0"/>
                  <w:vAlign w:val="center"/>
                </w:tcPr>
                <w:p w14:paraId="0FE2541B">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cs="Times New Roman"/>
                      <w:lang w:val="en-US" w:eastAsia="zh-CN"/>
                    </w:rPr>
                    <w:t>110</w:t>
                  </w:r>
                </w:p>
              </w:tc>
              <w:tc>
                <w:tcPr>
                  <w:tcW w:w="1151" w:type="dxa"/>
                  <w:tcBorders>
                    <w:tl2br w:val="nil"/>
                    <w:tr2bl w:val="nil"/>
                  </w:tcBorders>
                  <w:shd w:val="clear" w:color="auto" w:fill="FFFFFF" w:themeFill="background1"/>
                  <w:noWrap w:val="0"/>
                  <w:vAlign w:val="center"/>
                </w:tcPr>
                <w:p w14:paraId="2BDA31F9">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cs="Times New Roman"/>
                      <w:lang w:val="en-US" w:eastAsia="zh-CN"/>
                    </w:rPr>
                    <w:t>109</w:t>
                  </w:r>
                </w:p>
              </w:tc>
              <w:tc>
                <w:tcPr>
                  <w:tcW w:w="1150" w:type="dxa"/>
                  <w:tcBorders>
                    <w:tl2br w:val="nil"/>
                    <w:tr2bl w:val="nil"/>
                  </w:tcBorders>
                  <w:shd w:val="clear" w:color="auto" w:fill="FFFFFF" w:themeFill="background1"/>
                  <w:noWrap w:val="0"/>
                  <w:vAlign w:val="center"/>
                </w:tcPr>
                <w:p w14:paraId="2E1BC024">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cs="Times New Roman"/>
                      <w:lang w:val="en-US" w:eastAsia="zh-CN"/>
                    </w:rPr>
                    <w:t>104</w:t>
                  </w:r>
                </w:p>
              </w:tc>
            </w:tr>
            <w:tr w14:paraId="46B24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327" w:hRule="atLeast"/>
              </w:trPr>
              <w:tc>
                <w:tcPr>
                  <w:tcW w:w="1885" w:type="dxa"/>
                  <w:vMerge w:val="continue"/>
                  <w:tcBorders>
                    <w:tl2br w:val="nil"/>
                    <w:tr2bl w:val="nil"/>
                  </w:tcBorders>
                  <w:shd w:val="clear" w:color="auto" w:fill="FFFFFF" w:themeFill="background1"/>
                  <w:noWrap w:val="0"/>
                  <w:vAlign w:val="center"/>
                </w:tcPr>
                <w:p w14:paraId="2A485B50">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57A94FDC">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4A8E8AD5">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下风向G2</w:t>
                  </w:r>
                </w:p>
              </w:tc>
              <w:tc>
                <w:tcPr>
                  <w:tcW w:w="1147" w:type="dxa"/>
                  <w:tcBorders>
                    <w:tl2br w:val="nil"/>
                    <w:tr2bl w:val="nil"/>
                  </w:tcBorders>
                  <w:shd w:val="clear" w:color="auto" w:fill="FFFFFF" w:themeFill="background1"/>
                  <w:noWrap w:val="0"/>
                  <w:vAlign w:val="center"/>
                </w:tcPr>
                <w:p w14:paraId="5E6E967C">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cs="Times New Roman"/>
                      <w:lang w:val="en-US" w:eastAsia="zh-CN"/>
                    </w:rPr>
                    <w:t>214</w:t>
                  </w:r>
                </w:p>
              </w:tc>
              <w:tc>
                <w:tcPr>
                  <w:tcW w:w="1151" w:type="dxa"/>
                  <w:tcBorders>
                    <w:tl2br w:val="nil"/>
                    <w:tr2bl w:val="nil"/>
                  </w:tcBorders>
                  <w:shd w:val="clear" w:color="auto" w:fill="FFFFFF" w:themeFill="background1"/>
                  <w:noWrap w:val="0"/>
                  <w:vAlign w:val="center"/>
                </w:tcPr>
                <w:p w14:paraId="5357AC1F">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cs="Times New Roman"/>
                      <w:lang w:val="en-US" w:eastAsia="zh-CN"/>
                    </w:rPr>
                    <w:t>206</w:t>
                  </w:r>
                </w:p>
              </w:tc>
              <w:tc>
                <w:tcPr>
                  <w:tcW w:w="1150" w:type="dxa"/>
                  <w:tcBorders>
                    <w:tl2br w:val="nil"/>
                    <w:tr2bl w:val="nil"/>
                  </w:tcBorders>
                  <w:shd w:val="clear" w:color="auto" w:fill="FFFFFF" w:themeFill="background1"/>
                  <w:noWrap w:val="0"/>
                  <w:vAlign w:val="center"/>
                </w:tcPr>
                <w:p w14:paraId="2E4D1E1A">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cs="Times New Roman"/>
                      <w:lang w:val="en-US" w:eastAsia="zh-CN"/>
                    </w:rPr>
                    <w:t>211</w:t>
                  </w:r>
                </w:p>
              </w:tc>
            </w:tr>
            <w:tr w14:paraId="3E30C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gridAfter w:val="1"/>
                <w:wAfter w:w="4" w:type="dxa"/>
                <w:trHeight w:val="327" w:hRule="atLeast"/>
              </w:trPr>
              <w:tc>
                <w:tcPr>
                  <w:tcW w:w="1885" w:type="dxa"/>
                  <w:vMerge w:val="continue"/>
                  <w:tcBorders>
                    <w:tl2br w:val="nil"/>
                    <w:tr2bl w:val="nil"/>
                  </w:tcBorders>
                  <w:shd w:val="clear" w:color="auto" w:fill="FFFFFF" w:themeFill="background1"/>
                  <w:noWrap w:val="0"/>
                  <w:vAlign w:val="center"/>
                </w:tcPr>
                <w:p w14:paraId="32F3D3F9">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630CA57A">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14CBB1C6">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下风向G3</w:t>
                  </w:r>
                </w:p>
              </w:tc>
              <w:tc>
                <w:tcPr>
                  <w:tcW w:w="1147" w:type="dxa"/>
                  <w:tcBorders>
                    <w:tl2br w:val="nil"/>
                    <w:tr2bl w:val="nil"/>
                  </w:tcBorders>
                  <w:shd w:val="clear" w:color="auto" w:fill="FFFFFF" w:themeFill="background1"/>
                  <w:noWrap w:val="0"/>
                  <w:vAlign w:val="center"/>
                </w:tcPr>
                <w:p w14:paraId="68534C26">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cs="Times New Roman"/>
                      <w:lang w:val="en-US" w:eastAsia="zh-CN"/>
                    </w:rPr>
                    <w:t>215</w:t>
                  </w:r>
                </w:p>
              </w:tc>
              <w:tc>
                <w:tcPr>
                  <w:tcW w:w="1151" w:type="dxa"/>
                  <w:tcBorders>
                    <w:tl2br w:val="nil"/>
                    <w:tr2bl w:val="nil"/>
                  </w:tcBorders>
                  <w:shd w:val="clear" w:color="auto" w:fill="FFFFFF" w:themeFill="background1"/>
                  <w:noWrap w:val="0"/>
                  <w:vAlign w:val="center"/>
                </w:tcPr>
                <w:p w14:paraId="207892E0">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cs="Times New Roman"/>
                      <w:lang w:val="en-US" w:eastAsia="zh-CN"/>
                    </w:rPr>
                    <w:t>222</w:t>
                  </w:r>
                </w:p>
              </w:tc>
              <w:tc>
                <w:tcPr>
                  <w:tcW w:w="1150" w:type="dxa"/>
                  <w:tcBorders>
                    <w:tl2br w:val="nil"/>
                    <w:tr2bl w:val="nil"/>
                  </w:tcBorders>
                  <w:shd w:val="clear" w:color="auto" w:fill="FFFFFF" w:themeFill="background1"/>
                  <w:noWrap w:val="0"/>
                  <w:vAlign w:val="center"/>
                </w:tcPr>
                <w:p w14:paraId="05B37FF0">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cs="Times New Roman"/>
                      <w:lang w:val="en-US" w:eastAsia="zh-CN"/>
                    </w:rPr>
                    <w:t>211</w:t>
                  </w:r>
                </w:p>
              </w:tc>
            </w:tr>
            <w:tr w14:paraId="3E9AE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327" w:hRule="atLeast"/>
              </w:trPr>
              <w:tc>
                <w:tcPr>
                  <w:tcW w:w="1885" w:type="dxa"/>
                  <w:vMerge w:val="continue"/>
                  <w:tcBorders>
                    <w:tl2br w:val="nil"/>
                    <w:tr2bl w:val="nil"/>
                  </w:tcBorders>
                  <w:shd w:val="clear" w:color="auto" w:fill="FFFFFF" w:themeFill="background1"/>
                  <w:noWrap w:val="0"/>
                  <w:vAlign w:val="center"/>
                </w:tcPr>
                <w:p w14:paraId="40CE99C4">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01D16FB7">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70ACC5BF">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下风向G4</w:t>
                  </w:r>
                </w:p>
              </w:tc>
              <w:tc>
                <w:tcPr>
                  <w:tcW w:w="1147" w:type="dxa"/>
                  <w:tcBorders>
                    <w:tl2br w:val="nil"/>
                    <w:tr2bl w:val="nil"/>
                  </w:tcBorders>
                  <w:shd w:val="clear" w:color="auto" w:fill="FFFFFF" w:themeFill="background1"/>
                  <w:noWrap w:val="0"/>
                  <w:vAlign w:val="center"/>
                </w:tcPr>
                <w:p w14:paraId="4E49B1A7">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cs="Times New Roman"/>
                      <w:lang w:val="en-US" w:eastAsia="zh-CN"/>
                    </w:rPr>
                    <w:t>209</w:t>
                  </w:r>
                </w:p>
              </w:tc>
              <w:tc>
                <w:tcPr>
                  <w:tcW w:w="1151" w:type="dxa"/>
                  <w:tcBorders>
                    <w:tl2br w:val="nil"/>
                    <w:tr2bl w:val="nil"/>
                  </w:tcBorders>
                  <w:shd w:val="clear" w:color="auto" w:fill="FFFFFF" w:themeFill="background1"/>
                  <w:noWrap w:val="0"/>
                  <w:vAlign w:val="center"/>
                </w:tcPr>
                <w:p w14:paraId="4CB1828F">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cs="Times New Roman"/>
                      <w:lang w:val="en-US" w:eastAsia="zh-CN"/>
                    </w:rPr>
                    <w:t>203</w:t>
                  </w:r>
                </w:p>
              </w:tc>
              <w:tc>
                <w:tcPr>
                  <w:tcW w:w="1150" w:type="dxa"/>
                  <w:tcBorders>
                    <w:tl2br w:val="nil"/>
                    <w:tr2bl w:val="nil"/>
                  </w:tcBorders>
                  <w:shd w:val="clear" w:color="auto" w:fill="FFFFFF" w:themeFill="background1"/>
                  <w:noWrap w:val="0"/>
                  <w:vAlign w:val="center"/>
                </w:tcPr>
                <w:p w14:paraId="64985BE1">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cs="Times New Roman"/>
                      <w:lang w:val="en-US" w:eastAsia="zh-CN"/>
                    </w:rPr>
                    <w:t>195</w:t>
                  </w:r>
                </w:p>
              </w:tc>
            </w:tr>
            <w:tr w14:paraId="7238A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320" w:hRule="atLeast"/>
              </w:trPr>
              <w:tc>
                <w:tcPr>
                  <w:tcW w:w="1885" w:type="dxa"/>
                  <w:vMerge w:val="restart"/>
                  <w:tcBorders>
                    <w:tl2br w:val="nil"/>
                    <w:tr2bl w:val="nil"/>
                  </w:tcBorders>
                  <w:shd w:val="clear" w:color="auto" w:fill="FFFFFF" w:themeFill="background1"/>
                  <w:noWrap w:val="0"/>
                  <w:vAlign w:val="center"/>
                </w:tcPr>
                <w:p w14:paraId="1C8B4770">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非甲烷总烃 (mg/m³)</w:t>
                  </w:r>
                </w:p>
              </w:tc>
              <w:tc>
                <w:tcPr>
                  <w:tcW w:w="1364" w:type="dxa"/>
                  <w:vMerge w:val="restart"/>
                  <w:tcBorders>
                    <w:tl2br w:val="nil"/>
                    <w:tr2bl w:val="nil"/>
                  </w:tcBorders>
                  <w:shd w:val="clear" w:color="auto" w:fill="FFFFFF" w:themeFill="background1"/>
                  <w:noWrap w:val="0"/>
                  <w:vAlign w:val="center"/>
                </w:tcPr>
                <w:p w14:paraId="450C0CE3">
                  <w:pPr>
                    <w:pStyle w:val="24"/>
                    <w:keepNext w:val="0"/>
                    <w:keepLines w:val="0"/>
                    <w:suppressLineNumbers w:val="0"/>
                    <w:bidi w:val="0"/>
                    <w:spacing w:before="0" w:beforeAutospacing="0" w:after="0" w:afterAutospacing="0"/>
                    <w:ind w:left="0" w:leftChars="0" w:right="0" w:rightChars="0" w:firstLine="0" w:firstLineChars="0"/>
                    <w:jc w:val="center"/>
                    <w:rPr>
                      <w:rFonts w:hint="default" w:ascii="Times New Roman" w:hAnsi="Times New Roman" w:cs="Times New Roman"/>
                    </w:rPr>
                  </w:pPr>
                  <w:r>
                    <w:rPr>
                      <w:rFonts w:hint="default" w:ascii="Times New Roman" w:hAnsi="Times New Roman" w:cs="Times New Roman"/>
                      <w:lang w:val="en-US" w:eastAsia="zh-CN"/>
                    </w:rPr>
                    <w:t>2025.12.22</w:t>
                  </w:r>
                </w:p>
              </w:tc>
              <w:tc>
                <w:tcPr>
                  <w:tcW w:w="1977" w:type="dxa"/>
                  <w:tcBorders>
                    <w:tl2br w:val="nil"/>
                    <w:tr2bl w:val="nil"/>
                  </w:tcBorders>
                  <w:shd w:val="clear" w:color="auto" w:fill="FFFFFF" w:themeFill="background1"/>
                  <w:noWrap w:val="0"/>
                  <w:vAlign w:val="center"/>
                </w:tcPr>
                <w:p w14:paraId="09FF3B9E">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上风向G1</w:t>
                  </w:r>
                </w:p>
              </w:tc>
              <w:tc>
                <w:tcPr>
                  <w:tcW w:w="1147" w:type="dxa"/>
                  <w:tcBorders>
                    <w:tl2br w:val="nil"/>
                    <w:tr2bl w:val="nil"/>
                  </w:tcBorders>
                  <w:shd w:val="clear" w:color="auto" w:fill="FFFFFF" w:themeFill="background1"/>
                  <w:noWrap w:val="0"/>
                  <w:vAlign w:val="center"/>
                </w:tcPr>
                <w:p w14:paraId="0E668232">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0.59</w:t>
                  </w:r>
                </w:p>
              </w:tc>
              <w:tc>
                <w:tcPr>
                  <w:tcW w:w="1151" w:type="dxa"/>
                  <w:tcBorders>
                    <w:tl2br w:val="nil"/>
                    <w:tr2bl w:val="nil"/>
                  </w:tcBorders>
                  <w:shd w:val="clear" w:color="auto" w:fill="FFFFFF" w:themeFill="background1"/>
                  <w:noWrap w:val="0"/>
                  <w:vAlign w:val="center"/>
                </w:tcPr>
                <w:p w14:paraId="42205C75">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0.75</w:t>
                  </w:r>
                </w:p>
              </w:tc>
              <w:tc>
                <w:tcPr>
                  <w:tcW w:w="1150" w:type="dxa"/>
                  <w:tcBorders>
                    <w:tl2br w:val="nil"/>
                    <w:tr2bl w:val="nil"/>
                  </w:tcBorders>
                  <w:shd w:val="clear" w:color="auto" w:fill="FFFFFF" w:themeFill="background1"/>
                  <w:noWrap w:val="0"/>
                  <w:vAlign w:val="center"/>
                </w:tcPr>
                <w:p w14:paraId="7C533BAF">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0.66</w:t>
                  </w:r>
                </w:p>
              </w:tc>
            </w:tr>
            <w:tr w14:paraId="04189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314" w:hRule="atLeast"/>
              </w:trPr>
              <w:tc>
                <w:tcPr>
                  <w:tcW w:w="1885" w:type="dxa"/>
                  <w:vMerge w:val="continue"/>
                  <w:tcBorders>
                    <w:tl2br w:val="nil"/>
                    <w:tr2bl w:val="nil"/>
                  </w:tcBorders>
                  <w:shd w:val="clear" w:color="auto" w:fill="FFFFFF" w:themeFill="background1"/>
                  <w:noWrap w:val="0"/>
                  <w:vAlign w:val="center"/>
                </w:tcPr>
                <w:p w14:paraId="5FDD824B">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336492AD">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03FE9F4F">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下风向G2</w:t>
                  </w:r>
                </w:p>
              </w:tc>
              <w:tc>
                <w:tcPr>
                  <w:tcW w:w="1147" w:type="dxa"/>
                  <w:tcBorders>
                    <w:tl2br w:val="nil"/>
                    <w:tr2bl w:val="nil"/>
                  </w:tcBorders>
                  <w:shd w:val="clear" w:color="auto" w:fill="FFFFFF" w:themeFill="background1"/>
                  <w:noWrap w:val="0"/>
                  <w:vAlign w:val="center"/>
                </w:tcPr>
                <w:p w14:paraId="6D0B3F2A">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0.58</w:t>
                  </w:r>
                </w:p>
              </w:tc>
              <w:tc>
                <w:tcPr>
                  <w:tcW w:w="1151" w:type="dxa"/>
                  <w:tcBorders>
                    <w:tl2br w:val="nil"/>
                    <w:tr2bl w:val="nil"/>
                  </w:tcBorders>
                  <w:shd w:val="clear" w:color="auto" w:fill="FFFFFF" w:themeFill="background1"/>
                  <w:noWrap w:val="0"/>
                  <w:vAlign w:val="center"/>
                </w:tcPr>
                <w:p w14:paraId="6059A8CA">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0.54</w:t>
                  </w:r>
                </w:p>
              </w:tc>
              <w:tc>
                <w:tcPr>
                  <w:tcW w:w="1150" w:type="dxa"/>
                  <w:tcBorders>
                    <w:tl2br w:val="nil"/>
                    <w:tr2bl w:val="nil"/>
                  </w:tcBorders>
                  <w:shd w:val="clear" w:color="auto" w:fill="FFFFFF" w:themeFill="background1"/>
                  <w:noWrap w:val="0"/>
                  <w:vAlign w:val="center"/>
                </w:tcPr>
                <w:p w14:paraId="3DF7DCE5">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0.54</w:t>
                  </w:r>
                </w:p>
              </w:tc>
            </w:tr>
            <w:tr w14:paraId="53373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314" w:hRule="atLeast"/>
              </w:trPr>
              <w:tc>
                <w:tcPr>
                  <w:tcW w:w="1885" w:type="dxa"/>
                  <w:vMerge w:val="continue"/>
                  <w:tcBorders>
                    <w:tl2br w:val="nil"/>
                    <w:tr2bl w:val="nil"/>
                  </w:tcBorders>
                  <w:shd w:val="clear" w:color="auto" w:fill="FFFFFF" w:themeFill="background1"/>
                  <w:noWrap w:val="0"/>
                  <w:vAlign w:val="center"/>
                </w:tcPr>
                <w:p w14:paraId="479504D6">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0DA6ED4D">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326CB265">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下风向G3</w:t>
                  </w:r>
                </w:p>
              </w:tc>
              <w:tc>
                <w:tcPr>
                  <w:tcW w:w="1147" w:type="dxa"/>
                  <w:tcBorders>
                    <w:tl2br w:val="nil"/>
                    <w:tr2bl w:val="nil"/>
                  </w:tcBorders>
                  <w:shd w:val="clear" w:color="auto" w:fill="FFFFFF" w:themeFill="background1"/>
                  <w:noWrap w:val="0"/>
                  <w:vAlign w:val="center"/>
                </w:tcPr>
                <w:p w14:paraId="089048D4">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0.47</w:t>
                  </w:r>
                </w:p>
              </w:tc>
              <w:tc>
                <w:tcPr>
                  <w:tcW w:w="1151" w:type="dxa"/>
                  <w:tcBorders>
                    <w:tl2br w:val="nil"/>
                    <w:tr2bl w:val="nil"/>
                  </w:tcBorders>
                  <w:shd w:val="clear" w:color="auto" w:fill="FFFFFF" w:themeFill="background1"/>
                  <w:noWrap w:val="0"/>
                  <w:vAlign w:val="center"/>
                </w:tcPr>
                <w:p w14:paraId="467AAD8B">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0.46</w:t>
                  </w:r>
                </w:p>
              </w:tc>
              <w:tc>
                <w:tcPr>
                  <w:tcW w:w="1150" w:type="dxa"/>
                  <w:tcBorders>
                    <w:tl2br w:val="nil"/>
                    <w:tr2bl w:val="nil"/>
                  </w:tcBorders>
                  <w:shd w:val="clear" w:color="auto" w:fill="FFFFFF" w:themeFill="background1"/>
                  <w:noWrap w:val="0"/>
                  <w:vAlign w:val="center"/>
                </w:tcPr>
                <w:p w14:paraId="17F69D3B">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0.57</w:t>
                  </w:r>
                </w:p>
              </w:tc>
            </w:tr>
            <w:tr w14:paraId="53BAB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314" w:hRule="atLeast"/>
              </w:trPr>
              <w:tc>
                <w:tcPr>
                  <w:tcW w:w="1885" w:type="dxa"/>
                  <w:vMerge w:val="continue"/>
                  <w:tcBorders>
                    <w:tl2br w:val="nil"/>
                    <w:tr2bl w:val="nil"/>
                  </w:tcBorders>
                  <w:shd w:val="clear" w:color="auto" w:fill="FFFFFF" w:themeFill="background1"/>
                  <w:noWrap w:val="0"/>
                  <w:vAlign w:val="center"/>
                </w:tcPr>
                <w:p w14:paraId="71B00FE5">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68CC4021">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4ED29CBF">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下风向G4</w:t>
                  </w:r>
                </w:p>
              </w:tc>
              <w:tc>
                <w:tcPr>
                  <w:tcW w:w="1147" w:type="dxa"/>
                  <w:tcBorders>
                    <w:tl2br w:val="nil"/>
                    <w:tr2bl w:val="nil"/>
                  </w:tcBorders>
                  <w:shd w:val="clear" w:color="auto" w:fill="FFFFFF" w:themeFill="background1"/>
                  <w:noWrap w:val="0"/>
                  <w:vAlign w:val="center"/>
                </w:tcPr>
                <w:p w14:paraId="32C039B2">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0.42</w:t>
                  </w:r>
                </w:p>
              </w:tc>
              <w:tc>
                <w:tcPr>
                  <w:tcW w:w="1151" w:type="dxa"/>
                  <w:tcBorders>
                    <w:tl2br w:val="nil"/>
                    <w:tr2bl w:val="nil"/>
                  </w:tcBorders>
                  <w:shd w:val="clear" w:color="auto" w:fill="FFFFFF" w:themeFill="background1"/>
                  <w:noWrap w:val="0"/>
                  <w:vAlign w:val="center"/>
                </w:tcPr>
                <w:p w14:paraId="65010B78">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0.52</w:t>
                  </w:r>
                </w:p>
              </w:tc>
              <w:tc>
                <w:tcPr>
                  <w:tcW w:w="1150" w:type="dxa"/>
                  <w:tcBorders>
                    <w:tl2br w:val="nil"/>
                    <w:tr2bl w:val="nil"/>
                  </w:tcBorders>
                  <w:shd w:val="clear" w:color="auto" w:fill="FFFFFF" w:themeFill="background1"/>
                  <w:noWrap w:val="0"/>
                  <w:vAlign w:val="center"/>
                </w:tcPr>
                <w:p w14:paraId="6A421974">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0.42</w:t>
                  </w:r>
                </w:p>
              </w:tc>
            </w:tr>
            <w:tr w14:paraId="06F16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419" w:hRule="atLeast"/>
              </w:trPr>
              <w:tc>
                <w:tcPr>
                  <w:tcW w:w="1885" w:type="dxa"/>
                  <w:vMerge w:val="continue"/>
                  <w:tcBorders>
                    <w:tl2br w:val="nil"/>
                    <w:tr2bl w:val="nil"/>
                  </w:tcBorders>
                  <w:shd w:val="clear" w:color="auto" w:fill="FFFFFF" w:themeFill="background1"/>
                  <w:noWrap w:val="0"/>
                  <w:vAlign w:val="center"/>
                </w:tcPr>
                <w:p w14:paraId="48B8DC9A">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17AC0EFB">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27EBCF48">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厂区内B1</w:t>
                  </w:r>
                </w:p>
              </w:tc>
              <w:tc>
                <w:tcPr>
                  <w:tcW w:w="1147" w:type="dxa"/>
                  <w:tcBorders>
                    <w:tl2br w:val="nil"/>
                    <w:tr2bl w:val="nil"/>
                  </w:tcBorders>
                  <w:shd w:val="clear" w:color="auto" w:fill="FFFFFF" w:themeFill="background1"/>
                  <w:noWrap w:val="0"/>
                  <w:vAlign w:val="center"/>
                </w:tcPr>
                <w:p w14:paraId="6FD8357C">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0.56</w:t>
                  </w:r>
                </w:p>
              </w:tc>
              <w:tc>
                <w:tcPr>
                  <w:tcW w:w="1151" w:type="dxa"/>
                  <w:tcBorders>
                    <w:tl2br w:val="nil"/>
                    <w:tr2bl w:val="nil"/>
                  </w:tcBorders>
                  <w:shd w:val="clear" w:color="auto" w:fill="FFFFFF" w:themeFill="background1"/>
                  <w:noWrap w:val="0"/>
                  <w:vAlign w:val="center"/>
                </w:tcPr>
                <w:p w14:paraId="4959281A">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0.52</w:t>
                  </w:r>
                </w:p>
              </w:tc>
              <w:tc>
                <w:tcPr>
                  <w:tcW w:w="1150" w:type="dxa"/>
                  <w:tcBorders>
                    <w:tl2br w:val="nil"/>
                    <w:tr2bl w:val="nil"/>
                  </w:tcBorders>
                  <w:shd w:val="clear" w:color="auto" w:fill="FFFFFF" w:themeFill="background1"/>
                  <w:noWrap w:val="0"/>
                  <w:vAlign w:val="center"/>
                </w:tcPr>
                <w:p w14:paraId="0F680AA3">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0.56</w:t>
                  </w:r>
                </w:p>
              </w:tc>
            </w:tr>
            <w:tr w14:paraId="4902E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314" w:hRule="atLeast"/>
              </w:trPr>
              <w:tc>
                <w:tcPr>
                  <w:tcW w:w="1885" w:type="dxa"/>
                  <w:vMerge w:val="continue"/>
                  <w:tcBorders>
                    <w:tl2br w:val="nil"/>
                    <w:tr2bl w:val="nil"/>
                  </w:tcBorders>
                  <w:shd w:val="clear" w:color="auto" w:fill="FFFFFF" w:themeFill="background1"/>
                  <w:noWrap w:val="0"/>
                  <w:vAlign w:val="center"/>
                </w:tcPr>
                <w:p w14:paraId="6BBF4CD8">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restart"/>
                  <w:tcBorders>
                    <w:tl2br w:val="nil"/>
                    <w:tr2bl w:val="nil"/>
                  </w:tcBorders>
                  <w:shd w:val="clear" w:color="auto" w:fill="FFFFFF" w:themeFill="background1"/>
                  <w:noWrap w:val="0"/>
                  <w:vAlign w:val="center"/>
                </w:tcPr>
                <w:p w14:paraId="7B5BF65A">
                  <w:pPr>
                    <w:pStyle w:val="24"/>
                    <w:keepNext w:val="0"/>
                    <w:keepLines w:val="0"/>
                    <w:suppressLineNumbers w:val="0"/>
                    <w:bidi w:val="0"/>
                    <w:spacing w:before="0" w:beforeAutospacing="0" w:after="0" w:afterAutospacing="0"/>
                    <w:ind w:left="0" w:leftChars="0" w:right="0" w:rightChars="0" w:firstLine="0" w:firstLineChars="0"/>
                    <w:jc w:val="center"/>
                    <w:rPr>
                      <w:rFonts w:hint="default" w:ascii="Times New Roman" w:hAnsi="Times New Roman" w:cs="Times New Roman"/>
                    </w:rPr>
                  </w:pPr>
                  <w:r>
                    <w:rPr>
                      <w:rFonts w:hint="default" w:ascii="Times New Roman" w:hAnsi="Times New Roman" w:cs="Times New Roman"/>
                      <w:lang w:val="en-US" w:eastAsia="zh-CN"/>
                    </w:rPr>
                    <w:t>2025.12.25</w:t>
                  </w:r>
                </w:p>
              </w:tc>
              <w:tc>
                <w:tcPr>
                  <w:tcW w:w="1977" w:type="dxa"/>
                  <w:tcBorders>
                    <w:tl2br w:val="nil"/>
                    <w:tr2bl w:val="nil"/>
                  </w:tcBorders>
                  <w:shd w:val="clear" w:color="auto" w:fill="FFFFFF" w:themeFill="background1"/>
                  <w:noWrap w:val="0"/>
                  <w:vAlign w:val="center"/>
                </w:tcPr>
                <w:p w14:paraId="7FEBE419">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上风向G1</w:t>
                  </w:r>
                </w:p>
              </w:tc>
              <w:tc>
                <w:tcPr>
                  <w:tcW w:w="1147" w:type="dxa"/>
                  <w:tcBorders>
                    <w:tl2br w:val="nil"/>
                    <w:tr2bl w:val="nil"/>
                  </w:tcBorders>
                  <w:shd w:val="clear" w:color="auto" w:fill="FFFFFF" w:themeFill="background1"/>
                  <w:noWrap w:val="0"/>
                  <w:vAlign w:val="center"/>
                </w:tcPr>
                <w:p w14:paraId="55D3B3F5">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0.8</w:t>
                  </w:r>
                </w:p>
              </w:tc>
              <w:tc>
                <w:tcPr>
                  <w:tcW w:w="1151" w:type="dxa"/>
                  <w:tcBorders>
                    <w:tl2br w:val="nil"/>
                    <w:tr2bl w:val="nil"/>
                  </w:tcBorders>
                  <w:shd w:val="clear" w:color="auto" w:fill="FFFFFF" w:themeFill="background1"/>
                  <w:noWrap w:val="0"/>
                  <w:vAlign w:val="center"/>
                </w:tcPr>
                <w:p w14:paraId="64F4A947">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0.8</w:t>
                  </w:r>
                </w:p>
              </w:tc>
              <w:tc>
                <w:tcPr>
                  <w:tcW w:w="1150" w:type="dxa"/>
                  <w:tcBorders>
                    <w:tl2br w:val="nil"/>
                    <w:tr2bl w:val="nil"/>
                  </w:tcBorders>
                  <w:shd w:val="clear" w:color="auto" w:fill="FFFFFF" w:themeFill="background1"/>
                  <w:noWrap w:val="0"/>
                  <w:vAlign w:val="center"/>
                </w:tcPr>
                <w:p w14:paraId="46DE7ECC">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0.55</w:t>
                  </w:r>
                </w:p>
              </w:tc>
            </w:tr>
            <w:tr w14:paraId="5CB49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gridAfter w:val="1"/>
                <w:wAfter w:w="4" w:type="dxa"/>
                <w:trHeight w:val="314" w:hRule="atLeast"/>
              </w:trPr>
              <w:tc>
                <w:tcPr>
                  <w:tcW w:w="1885" w:type="dxa"/>
                  <w:vMerge w:val="continue"/>
                  <w:tcBorders>
                    <w:tl2br w:val="nil"/>
                    <w:tr2bl w:val="nil"/>
                  </w:tcBorders>
                  <w:shd w:val="clear" w:color="auto" w:fill="FFFFFF" w:themeFill="background1"/>
                  <w:noWrap w:val="0"/>
                  <w:vAlign w:val="center"/>
                </w:tcPr>
                <w:p w14:paraId="503DD52A">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780D81B6">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4E892337">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下风向G2</w:t>
                  </w:r>
                </w:p>
              </w:tc>
              <w:tc>
                <w:tcPr>
                  <w:tcW w:w="1147" w:type="dxa"/>
                  <w:tcBorders>
                    <w:tl2br w:val="nil"/>
                    <w:tr2bl w:val="nil"/>
                  </w:tcBorders>
                  <w:shd w:val="clear" w:color="auto" w:fill="FFFFFF" w:themeFill="background1"/>
                  <w:noWrap w:val="0"/>
                  <w:vAlign w:val="center"/>
                </w:tcPr>
                <w:p w14:paraId="4940D961">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0.73</w:t>
                  </w:r>
                </w:p>
              </w:tc>
              <w:tc>
                <w:tcPr>
                  <w:tcW w:w="1151" w:type="dxa"/>
                  <w:tcBorders>
                    <w:tl2br w:val="nil"/>
                    <w:tr2bl w:val="nil"/>
                  </w:tcBorders>
                  <w:shd w:val="clear" w:color="auto" w:fill="FFFFFF" w:themeFill="background1"/>
                  <w:noWrap w:val="0"/>
                  <w:vAlign w:val="center"/>
                </w:tcPr>
                <w:p w14:paraId="5B2EDB72">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0.72</w:t>
                  </w:r>
                </w:p>
              </w:tc>
              <w:tc>
                <w:tcPr>
                  <w:tcW w:w="1150" w:type="dxa"/>
                  <w:tcBorders>
                    <w:tl2br w:val="nil"/>
                    <w:tr2bl w:val="nil"/>
                  </w:tcBorders>
                  <w:shd w:val="clear" w:color="auto" w:fill="FFFFFF" w:themeFill="background1"/>
                  <w:noWrap w:val="0"/>
                  <w:vAlign w:val="center"/>
                </w:tcPr>
                <w:p w14:paraId="6D16EAF3">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0.62</w:t>
                  </w:r>
                </w:p>
              </w:tc>
            </w:tr>
            <w:tr w14:paraId="34500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314" w:hRule="atLeast"/>
              </w:trPr>
              <w:tc>
                <w:tcPr>
                  <w:tcW w:w="1885" w:type="dxa"/>
                  <w:vMerge w:val="continue"/>
                  <w:tcBorders>
                    <w:tl2br w:val="nil"/>
                    <w:tr2bl w:val="nil"/>
                  </w:tcBorders>
                  <w:shd w:val="clear" w:color="auto" w:fill="FFFFFF" w:themeFill="background1"/>
                  <w:noWrap w:val="0"/>
                  <w:vAlign w:val="center"/>
                </w:tcPr>
                <w:p w14:paraId="39ABA3A3">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47E41F66">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195FA16D">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下风向G3</w:t>
                  </w:r>
                </w:p>
              </w:tc>
              <w:tc>
                <w:tcPr>
                  <w:tcW w:w="1147" w:type="dxa"/>
                  <w:tcBorders>
                    <w:tl2br w:val="nil"/>
                    <w:tr2bl w:val="nil"/>
                  </w:tcBorders>
                  <w:shd w:val="clear" w:color="auto" w:fill="FFFFFF" w:themeFill="background1"/>
                  <w:noWrap w:val="0"/>
                  <w:vAlign w:val="center"/>
                </w:tcPr>
                <w:p w14:paraId="4853A2E8">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0.56</w:t>
                  </w:r>
                </w:p>
              </w:tc>
              <w:tc>
                <w:tcPr>
                  <w:tcW w:w="1151" w:type="dxa"/>
                  <w:tcBorders>
                    <w:tl2br w:val="nil"/>
                    <w:tr2bl w:val="nil"/>
                  </w:tcBorders>
                  <w:shd w:val="clear" w:color="auto" w:fill="FFFFFF" w:themeFill="background1"/>
                  <w:noWrap w:val="0"/>
                  <w:vAlign w:val="center"/>
                </w:tcPr>
                <w:p w14:paraId="48E4C616">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0.53</w:t>
                  </w:r>
                </w:p>
              </w:tc>
              <w:tc>
                <w:tcPr>
                  <w:tcW w:w="1150" w:type="dxa"/>
                  <w:tcBorders>
                    <w:tl2br w:val="nil"/>
                    <w:tr2bl w:val="nil"/>
                  </w:tcBorders>
                  <w:shd w:val="clear" w:color="auto" w:fill="FFFFFF" w:themeFill="background1"/>
                  <w:noWrap w:val="0"/>
                  <w:vAlign w:val="center"/>
                </w:tcPr>
                <w:p w14:paraId="3AA6C5AF">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0.57</w:t>
                  </w:r>
                </w:p>
              </w:tc>
            </w:tr>
            <w:tr w14:paraId="402DD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gridAfter w:val="1"/>
                <w:wAfter w:w="4" w:type="dxa"/>
                <w:trHeight w:val="314" w:hRule="atLeast"/>
              </w:trPr>
              <w:tc>
                <w:tcPr>
                  <w:tcW w:w="1885" w:type="dxa"/>
                  <w:vMerge w:val="continue"/>
                  <w:tcBorders>
                    <w:tl2br w:val="nil"/>
                    <w:tr2bl w:val="nil"/>
                  </w:tcBorders>
                  <w:shd w:val="clear" w:color="auto" w:fill="FFFFFF" w:themeFill="background1"/>
                  <w:noWrap w:val="0"/>
                  <w:vAlign w:val="center"/>
                </w:tcPr>
                <w:p w14:paraId="3FF37904">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491D15CE">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431E535F">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下风向G4</w:t>
                  </w:r>
                </w:p>
              </w:tc>
              <w:tc>
                <w:tcPr>
                  <w:tcW w:w="1147" w:type="dxa"/>
                  <w:tcBorders>
                    <w:tl2br w:val="nil"/>
                    <w:tr2bl w:val="nil"/>
                  </w:tcBorders>
                  <w:shd w:val="clear" w:color="auto" w:fill="FFFFFF" w:themeFill="background1"/>
                  <w:noWrap w:val="0"/>
                  <w:vAlign w:val="center"/>
                </w:tcPr>
                <w:p w14:paraId="6B137BDC">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0.46</w:t>
                  </w:r>
                </w:p>
              </w:tc>
              <w:tc>
                <w:tcPr>
                  <w:tcW w:w="1151" w:type="dxa"/>
                  <w:tcBorders>
                    <w:tl2br w:val="nil"/>
                    <w:tr2bl w:val="nil"/>
                  </w:tcBorders>
                  <w:shd w:val="clear" w:color="auto" w:fill="FFFFFF" w:themeFill="background1"/>
                  <w:noWrap w:val="0"/>
                  <w:vAlign w:val="center"/>
                </w:tcPr>
                <w:p w14:paraId="70843182">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0.52</w:t>
                  </w:r>
                </w:p>
              </w:tc>
              <w:tc>
                <w:tcPr>
                  <w:tcW w:w="1150" w:type="dxa"/>
                  <w:tcBorders>
                    <w:tl2br w:val="nil"/>
                    <w:tr2bl w:val="nil"/>
                  </w:tcBorders>
                  <w:shd w:val="clear" w:color="auto" w:fill="FFFFFF" w:themeFill="background1"/>
                  <w:noWrap w:val="0"/>
                  <w:vAlign w:val="center"/>
                </w:tcPr>
                <w:p w14:paraId="6AA8BDD2">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w:t>
                  </w:r>
                </w:p>
              </w:tc>
            </w:tr>
            <w:tr w14:paraId="7D95A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dxa"/>
                <w:trHeight w:val="425" w:hRule="atLeast"/>
              </w:trPr>
              <w:tc>
                <w:tcPr>
                  <w:tcW w:w="1885" w:type="dxa"/>
                  <w:vMerge w:val="continue"/>
                  <w:tcBorders>
                    <w:tl2br w:val="nil"/>
                    <w:tr2bl w:val="nil"/>
                  </w:tcBorders>
                  <w:shd w:val="clear" w:color="auto" w:fill="FFFFFF" w:themeFill="background1"/>
                  <w:noWrap w:val="0"/>
                  <w:vAlign w:val="center"/>
                </w:tcPr>
                <w:p w14:paraId="0F139BAD">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364" w:type="dxa"/>
                  <w:vMerge w:val="continue"/>
                  <w:tcBorders>
                    <w:tl2br w:val="nil"/>
                    <w:tr2bl w:val="nil"/>
                  </w:tcBorders>
                  <w:shd w:val="clear" w:color="auto" w:fill="FFFFFF" w:themeFill="background1"/>
                  <w:noWrap w:val="0"/>
                  <w:vAlign w:val="center"/>
                </w:tcPr>
                <w:p w14:paraId="23B81AEA">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77" w:type="dxa"/>
                  <w:tcBorders>
                    <w:tl2br w:val="nil"/>
                    <w:tr2bl w:val="nil"/>
                  </w:tcBorders>
                  <w:shd w:val="clear" w:color="auto" w:fill="FFFFFF" w:themeFill="background1"/>
                  <w:noWrap w:val="0"/>
                  <w:vAlign w:val="center"/>
                </w:tcPr>
                <w:p w14:paraId="1C22A30F">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厂区内B1</w:t>
                  </w:r>
                </w:p>
              </w:tc>
              <w:tc>
                <w:tcPr>
                  <w:tcW w:w="1147" w:type="dxa"/>
                  <w:tcBorders>
                    <w:tl2br w:val="nil"/>
                    <w:tr2bl w:val="nil"/>
                  </w:tcBorders>
                  <w:shd w:val="clear" w:color="auto" w:fill="FFFFFF" w:themeFill="background1"/>
                  <w:noWrap w:val="0"/>
                  <w:vAlign w:val="center"/>
                </w:tcPr>
                <w:p w14:paraId="3B52E58D">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0.54</w:t>
                  </w:r>
                </w:p>
              </w:tc>
              <w:tc>
                <w:tcPr>
                  <w:tcW w:w="1151" w:type="dxa"/>
                  <w:tcBorders>
                    <w:tl2br w:val="nil"/>
                    <w:tr2bl w:val="nil"/>
                  </w:tcBorders>
                  <w:shd w:val="clear" w:color="auto" w:fill="FFFFFF" w:themeFill="background1"/>
                  <w:noWrap w:val="0"/>
                  <w:vAlign w:val="center"/>
                </w:tcPr>
                <w:p w14:paraId="08C07BD1">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0.56</w:t>
                  </w:r>
                </w:p>
              </w:tc>
              <w:tc>
                <w:tcPr>
                  <w:tcW w:w="1150" w:type="dxa"/>
                  <w:tcBorders>
                    <w:tl2br w:val="nil"/>
                    <w:tr2bl w:val="nil"/>
                  </w:tcBorders>
                  <w:shd w:val="clear" w:color="auto" w:fill="FFFFFF" w:themeFill="background1"/>
                  <w:noWrap w:val="0"/>
                  <w:vAlign w:val="center"/>
                </w:tcPr>
                <w:p w14:paraId="5F7E1850">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0.63</w:t>
                  </w:r>
                </w:p>
              </w:tc>
            </w:tr>
          </w:tbl>
          <w:p w14:paraId="2EE59405">
            <w:pPr>
              <w:keepNext w:val="0"/>
              <w:keepLines w:val="0"/>
              <w:widowControl/>
              <w:suppressLineNumbers w:val="0"/>
              <w:adjustRightInd w:val="0"/>
              <w:snapToGrid w:val="0"/>
              <w:spacing w:before="48" w:beforeLines="20" w:beforeAutospacing="0" w:after="0" w:afterAutospacing="0" w:line="360" w:lineRule="auto"/>
              <w:ind w:left="0" w:right="0" w:firstLine="480" w:firstLineChars="200"/>
              <w:jc w:val="left"/>
              <w:rPr>
                <w:rFonts w:hint="default" w:ascii="Times New Roman" w:hAnsi="Times New Roman" w:cs="Times New Roman"/>
                <w:color w:val="000000" w:themeColor="text1"/>
                <w:kern w:val="0"/>
                <w:sz w:val="24"/>
                <w:szCs w:val="24"/>
                <w14:textFill>
                  <w14:solidFill>
                    <w14:schemeClr w14:val="tx1"/>
                  </w14:solidFill>
                </w14:textFill>
              </w:rPr>
            </w:pPr>
            <w:r>
              <w:rPr>
                <w:rFonts w:hint="default" w:ascii="Times New Roman" w:hAnsi="Times New Roman" w:eastAsia="宋体" w:cs="Times New Roman"/>
                <w:bCs/>
                <w:snapToGrid w:val="0"/>
                <w:sz w:val="24"/>
                <w:szCs w:val="24"/>
                <w:lang w:val="en-US" w:eastAsia="zh-CN" w:bidi="ar"/>
              </w:rPr>
              <w:t>根据监测结果，厂界上风向（G1）、厂界下风向（G2、G3、G4）废气无组织排放监控点中，非甲烷总烃、颗粒物的监测值满足</w:t>
            </w:r>
            <w:r>
              <w:rPr>
                <w:rFonts w:hint="default" w:ascii="Times New Roman" w:hAnsi="Times New Roman" w:cs="Times New Roman"/>
              </w:rPr>
              <w:t>《大气污染物综合排放标准》（GB16297-1996）</w:t>
            </w:r>
            <w:r>
              <w:rPr>
                <w:rFonts w:hint="default" w:ascii="Times New Roman" w:hAnsi="Times New Roman" w:eastAsia="宋体" w:cs="Times New Roman"/>
                <w:sz w:val="24"/>
                <w:szCs w:val="24"/>
                <w:lang w:val="en-US" w:eastAsia="zh-CN" w:bidi="ar"/>
              </w:rPr>
              <w:t>；非甲烷总烃的厂内监测一次值满足《挥发性有机物无组织排放控制标准》（GB37822-2019）附录A中相应要求。</w:t>
            </w:r>
          </w:p>
          <w:p w14:paraId="38790E5E">
            <w:pPr>
              <w:pStyle w:val="4"/>
              <w:suppressLineNumbers w:val="0"/>
              <w:bidi w:val="0"/>
              <w:spacing w:before="0" w:beforeAutospacing="0" w:after="0" w:afterAutospacing="0"/>
              <w:ind w:left="0" w:right="0"/>
              <w:rPr>
                <w:rFonts w:hint="default" w:ascii="Times New Roman" w:hAnsi="Times New Roman" w:cs="Times New Roman" w:eastAsiaTheme="majorEastAsia"/>
                <w:lang w:val="en-US" w:eastAsia="zh-CN"/>
              </w:rPr>
            </w:pPr>
            <w:r>
              <w:rPr>
                <w:rFonts w:hint="default" w:ascii="Times New Roman" w:hAnsi="Times New Roman" w:cs="Times New Roman"/>
                <w:lang w:val="en-US" w:eastAsia="zh-CN"/>
              </w:rPr>
              <w:t>7.2.2废水</w:t>
            </w:r>
          </w:p>
          <w:p w14:paraId="18862642">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bCs/>
                <w:snapToGrid w:val="0"/>
                <w:sz w:val="24"/>
                <w:szCs w:val="24"/>
                <w:lang w:val="en-US" w:eastAsia="zh-CN" w:bidi="ar"/>
              </w:rPr>
            </w:pPr>
            <w:r>
              <w:rPr>
                <w:rFonts w:hint="default" w:ascii="Times New Roman" w:hAnsi="Times New Roman" w:eastAsia="宋体" w:cs="Times New Roman"/>
                <w:bCs/>
                <w:snapToGrid w:val="0"/>
                <w:sz w:val="24"/>
                <w:szCs w:val="24"/>
                <w:lang w:val="en-US" w:eastAsia="zh-CN" w:bidi="ar"/>
              </w:rPr>
              <w:t>废水监测结果见下表。</w:t>
            </w:r>
          </w:p>
          <w:p w14:paraId="1220EC99">
            <w:pPr>
              <w:keepNext w:val="0"/>
              <w:keepLines w:val="0"/>
              <w:suppressLineNumbers w:val="0"/>
              <w:spacing w:before="0" w:beforeAutospacing="0" w:after="0" w:afterAutospacing="0" w:line="360" w:lineRule="auto"/>
              <w:ind w:left="0" w:right="0"/>
              <w:jc w:val="center"/>
              <w:rPr>
                <w:rFonts w:hint="default" w:ascii="Times New Roman" w:hAnsi="Times New Roman" w:cs="Times New Roman"/>
                <w:b/>
                <w:bCs/>
                <w:lang w:val="en-US"/>
              </w:rPr>
            </w:pPr>
            <w:r>
              <w:rPr>
                <w:rFonts w:hint="default" w:ascii="Times New Roman" w:hAnsi="Times New Roman" w:eastAsia="宋体" w:cs="Times New Roman"/>
                <w:b/>
                <w:bCs/>
                <w:snapToGrid/>
                <w:kern w:val="0"/>
                <w:sz w:val="24"/>
                <w:szCs w:val="24"/>
                <w:lang w:val="en-US" w:eastAsia="zh-CN" w:bidi="ar"/>
              </w:rPr>
              <w:t xml:space="preserve">表7-4 废水监测结果一览表 </w:t>
            </w:r>
            <w:r>
              <w:rPr>
                <w:rFonts w:hint="default" w:ascii="Times New Roman" w:hAnsi="Times New Roman" w:eastAsia="宋体" w:cs="Times New Roman"/>
                <w:b/>
                <w:bCs/>
                <w:snapToGrid w:val="0"/>
                <w:kern w:val="0"/>
                <w:sz w:val="24"/>
                <w:szCs w:val="24"/>
                <w:lang w:val="en-US" w:eastAsia="zh-CN" w:bidi="ar"/>
              </w:rPr>
              <w:t>单位：mg/L（pH无量纲）</w:t>
            </w:r>
          </w:p>
          <w:tbl>
            <w:tblPr>
              <w:tblStyle w:val="19"/>
              <w:tblW w:w="8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fixed"/>
              <w:tblCellMar>
                <w:top w:w="0" w:type="dxa"/>
                <w:left w:w="108" w:type="dxa"/>
                <w:bottom w:w="0" w:type="dxa"/>
                <w:right w:w="108" w:type="dxa"/>
              </w:tblCellMar>
            </w:tblPr>
            <w:tblGrid>
              <w:gridCol w:w="1297"/>
              <w:gridCol w:w="1653"/>
              <w:gridCol w:w="1988"/>
              <w:gridCol w:w="947"/>
              <w:gridCol w:w="951"/>
              <w:gridCol w:w="950"/>
              <w:gridCol w:w="952"/>
            </w:tblGrid>
            <w:tr w14:paraId="6BC56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33" w:hRule="atLeast"/>
              </w:trPr>
              <w:tc>
                <w:tcPr>
                  <w:tcW w:w="1297" w:type="dxa"/>
                  <w:vMerge w:val="restart"/>
                  <w:tcBorders>
                    <w:tl2br w:val="nil"/>
                    <w:tr2bl w:val="nil"/>
                  </w:tcBorders>
                  <w:shd w:val="clear" w:color="auto" w:fill="FFFFFF" w:themeFill="background1"/>
                  <w:noWrap w:val="0"/>
                  <w:vAlign w:val="center"/>
                </w:tcPr>
                <w:p w14:paraId="33B6309B">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采样点位</w:t>
                  </w:r>
                </w:p>
              </w:tc>
              <w:tc>
                <w:tcPr>
                  <w:tcW w:w="1653" w:type="dxa"/>
                  <w:vMerge w:val="restart"/>
                  <w:tcBorders>
                    <w:tl2br w:val="nil"/>
                    <w:tr2bl w:val="nil"/>
                  </w:tcBorders>
                  <w:shd w:val="clear" w:color="auto" w:fill="FFFFFF" w:themeFill="background1"/>
                  <w:noWrap w:val="0"/>
                  <w:vAlign w:val="center"/>
                </w:tcPr>
                <w:p w14:paraId="2CD21872">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采样日期</w:t>
                  </w:r>
                </w:p>
              </w:tc>
              <w:tc>
                <w:tcPr>
                  <w:tcW w:w="1988" w:type="dxa"/>
                  <w:vMerge w:val="restart"/>
                  <w:tcBorders>
                    <w:tl2br w:val="nil"/>
                    <w:tr2bl w:val="nil"/>
                  </w:tcBorders>
                  <w:shd w:val="clear" w:color="auto" w:fill="FFFFFF" w:themeFill="background1"/>
                  <w:noWrap w:val="0"/>
                  <w:vAlign w:val="center"/>
                </w:tcPr>
                <w:p w14:paraId="403DA25A">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检测项目</w:t>
                  </w:r>
                </w:p>
              </w:tc>
              <w:tc>
                <w:tcPr>
                  <w:tcW w:w="3800" w:type="dxa"/>
                  <w:gridSpan w:val="4"/>
                  <w:tcBorders>
                    <w:tl2br w:val="nil"/>
                    <w:tr2bl w:val="nil"/>
                  </w:tcBorders>
                  <w:shd w:val="clear" w:color="auto" w:fill="FFFFFF" w:themeFill="background1"/>
                  <w:noWrap w:val="0"/>
                  <w:vAlign w:val="center"/>
                </w:tcPr>
                <w:p w14:paraId="2F11D412">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检测结果</w:t>
                  </w:r>
                </w:p>
              </w:tc>
            </w:tr>
            <w:tr w14:paraId="22482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1297" w:type="dxa"/>
                  <w:vMerge w:val="continue"/>
                  <w:tcBorders>
                    <w:tl2br w:val="nil"/>
                    <w:tr2bl w:val="nil"/>
                  </w:tcBorders>
                  <w:shd w:val="clear" w:color="auto" w:fill="FFFFFF" w:themeFill="background1"/>
                  <w:noWrap w:val="0"/>
                  <w:vAlign w:val="center"/>
                </w:tcPr>
                <w:p w14:paraId="4229421C">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33CB2D01">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vMerge w:val="continue"/>
                  <w:tcBorders>
                    <w:tl2br w:val="nil"/>
                    <w:tr2bl w:val="nil"/>
                  </w:tcBorders>
                  <w:shd w:val="clear" w:color="auto" w:fill="FFFFFF" w:themeFill="background1"/>
                  <w:noWrap w:val="0"/>
                  <w:vAlign w:val="center"/>
                </w:tcPr>
                <w:p w14:paraId="08FFA878">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947" w:type="dxa"/>
                  <w:tcBorders>
                    <w:tl2br w:val="nil"/>
                    <w:tr2bl w:val="nil"/>
                  </w:tcBorders>
                  <w:shd w:val="clear" w:color="auto" w:fill="FFFFFF" w:themeFill="background1"/>
                  <w:noWrap w:val="0"/>
                  <w:vAlign w:val="center"/>
                </w:tcPr>
                <w:p w14:paraId="6D6F0FF0">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第1次</w:t>
                  </w:r>
                </w:p>
              </w:tc>
              <w:tc>
                <w:tcPr>
                  <w:tcW w:w="951" w:type="dxa"/>
                  <w:tcBorders>
                    <w:tl2br w:val="nil"/>
                    <w:tr2bl w:val="nil"/>
                  </w:tcBorders>
                  <w:shd w:val="clear" w:color="auto" w:fill="FFFFFF" w:themeFill="background1"/>
                  <w:noWrap w:val="0"/>
                  <w:vAlign w:val="center"/>
                </w:tcPr>
                <w:p w14:paraId="139C8494">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第2次</w:t>
                  </w:r>
                </w:p>
              </w:tc>
              <w:tc>
                <w:tcPr>
                  <w:tcW w:w="950" w:type="dxa"/>
                  <w:tcBorders>
                    <w:tl2br w:val="nil"/>
                    <w:tr2bl w:val="nil"/>
                  </w:tcBorders>
                  <w:shd w:val="clear" w:color="auto" w:fill="FFFFFF" w:themeFill="background1"/>
                  <w:noWrap w:val="0"/>
                  <w:vAlign w:val="center"/>
                </w:tcPr>
                <w:p w14:paraId="37D820CC">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第3次</w:t>
                  </w:r>
                </w:p>
              </w:tc>
              <w:tc>
                <w:tcPr>
                  <w:tcW w:w="952" w:type="dxa"/>
                  <w:tcBorders>
                    <w:tl2br w:val="nil"/>
                    <w:tr2bl w:val="nil"/>
                  </w:tcBorders>
                  <w:shd w:val="clear" w:color="auto" w:fill="FFFFFF" w:themeFill="background1"/>
                  <w:noWrap w:val="0"/>
                  <w:vAlign w:val="center"/>
                </w:tcPr>
                <w:p w14:paraId="1670C19A">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第4次</w:t>
                  </w:r>
                </w:p>
              </w:tc>
            </w:tr>
            <w:tr w14:paraId="7F68F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1" w:hRule="atLeast"/>
              </w:trPr>
              <w:tc>
                <w:tcPr>
                  <w:tcW w:w="1297" w:type="dxa"/>
                  <w:vMerge w:val="restart"/>
                  <w:tcBorders>
                    <w:tl2br w:val="nil"/>
                    <w:tr2bl w:val="nil"/>
                  </w:tcBorders>
                  <w:shd w:val="clear" w:color="auto" w:fill="FFFFFF" w:themeFill="background1"/>
                  <w:noWrap w:val="0"/>
                  <w:vAlign w:val="center"/>
                </w:tcPr>
                <w:p w14:paraId="6E7BB123">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厂区污水总排口</w:t>
                  </w:r>
                </w:p>
              </w:tc>
              <w:tc>
                <w:tcPr>
                  <w:tcW w:w="1653" w:type="dxa"/>
                  <w:vMerge w:val="restart"/>
                  <w:tcBorders>
                    <w:tl2br w:val="nil"/>
                    <w:tr2bl w:val="nil"/>
                  </w:tcBorders>
                  <w:shd w:val="clear" w:color="auto" w:fill="FFFFFF" w:themeFill="background1"/>
                  <w:noWrap w:val="0"/>
                  <w:vAlign w:val="center"/>
                </w:tcPr>
                <w:p w14:paraId="2725F010">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2025.12.23</w:t>
                  </w:r>
                </w:p>
              </w:tc>
              <w:tc>
                <w:tcPr>
                  <w:tcW w:w="1988" w:type="dxa"/>
                  <w:tcBorders>
                    <w:tl2br w:val="nil"/>
                    <w:tr2bl w:val="nil"/>
                  </w:tcBorders>
                  <w:shd w:val="clear" w:color="auto" w:fill="auto"/>
                  <w:noWrap w:val="0"/>
                  <w:vAlign w:val="center"/>
                </w:tcPr>
                <w:p w14:paraId="323E7CBB">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pH值</w:t>
                  </w:r>
                </w:p>
                <w:p w14:paraId="48755D4A">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(无量纲)</w:t>
                  </w:r>
                </w:p>
              </w:tc>
              <w:tc>
                <w:tcPr>
                  <w:tcW w:w="947" w:type="dxa"/>
                  <w:tcBorders>
                    <w:tl2br w:val="nil"/>
                    <w:tr2bl w:val="nil"/>
                  </w:tcBorders>
                  <w:shd w:val="clear" w:color="auto" w:fill="auto"/>
                  <w:noWrap w:val="0"/>
                  <w:vAlign w:val="center"/>
                </w:tcPr>
                <w:p w14:paraId="7EA1CF4D">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7.4</w:t>
                  </w:r>
                </w:p>
                <w:p w14:paraId="47A495E1">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(12.4℃)</w:t>
                  </w:r>
                </w:p>
              </w:tc>
              <w:tc>
                <w:tcPr>
                  <w:tcW w:w="951" w:type="dxa"/>
                  <w:tcBorders>
                    <w:tl2br w:val="nil"/>
                    <w:tr2bl w:val="nil"/>
                  </w:tcBorders>
                  <w:shd w:val="clear" w:color="auto" w:fill="auto"/>
                  <w:noWrap w:val="0"/>
                  <w:vAlign w:val="center"/>
                </w:tcPr>
                <w:p w14:paraId="5D934B41">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7.7</w:t>
                  </w:r>
                </w:p>
                <w:p w14:paraId="0B738F9C">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(12.6℃)</w:t>
                  </w:r>
                </w:p>
              </w:tc>
              <w:tc>
                <w:tcPr>
                  <w:tcW w:w="950" w:type="dxa"/>
                  <w:tcBorders>
                    <w:tl2br w:val="nil"/>
                    <w:tr2bl w:val="nil"/>
                  </w:tcBorders>
                  <w:shd w:val="clear" w:color="auto" w:fill="auto"/>
                  <w:noWrap w:val="0"/>
                  <w:vAlign w:val="center"/>
                </w:tcPr>
                <w:p w14:paraId="71567D8B">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7.8</w:t>
                  </w:r>
                </w:p>
                <w:p w14:paraId="668154A3">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(12.0℃)</w:t>
                  </w:r>
                </w:p>
              </w:tc>
              <w:tc>
                <w:tcPr>
                  <w:tcW w:w="952" w:type="dxa"/>
                  <w:tcBorders>
                    <w:tl2br w:val="nil"/>
                    <w:tr2bl w:val="nil"/>
                  </w:tcBorders>
                  <w:shd w:val="clear" w:color="auto" w:fill="auto"/>
                  <w:noWrap w:val="0"/>
                  <w:vAlign w:val="center"/>
                </w:tcPr>
                <w:p w14:paraId="02239931">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7.9</w:t>
                  </w:r>
                </w:p>
                <w:p w14:paraId="39ED121B">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(11.4℃)</w:t>
                  </w:r>
                </w:p>
              </w:tc>
            </w:tr>
            <w:tr w14:paraId="229CB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612" w:hRule="atLeast"/>
              </w:trPr>
              <w:tc>
                <w:tcPr>
                  <w:tcW w:w="1297" w:type="dxa"/>
                  <w:vMerge w:val="continue"/>
                  <w:tcBorders>
                    <w:tl2br w:val="nil"/>
                    <w:tr2bl w:val="nil"/>
                  </w:tcBorders>
                  <w:shd w:val="clear" w:color="auto" w:fill="FFFFFF" w:themeFill="background1"/>
                  <w:noWrap w:val="0"/>
                  <w:vAlign w:val="center"/>
                </w:tcPr>
                <w:p w14:paraId="5D8013DD">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3827FE18">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tcBorders>
                    <w:tl2br w:val="nil"/>
                    <w:tr2bl w:val="nil"/>
                  </w:tcBorders>
                  <w:shd w:val="clear" w:color="auto" w:fill="auto"/>
                  <w:noWrap w:val="0"/>
                  <w:vAlign w:val="center"/>
                </w:tcPr>
                <w:p w14:paraId="30B8D836">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化学需氧量(mg/L)</w:t>
                  </w:r>
                </w:p>
              </w:tc>
              <w:tc>
                <w:tcPr>
                  <w:tcW w:w="947" w:type="dxa"/>
                  <w:tcBorders>
                    <w:tl2br w:val="nil"/>
                    <w:tr2bl w:val="nil"/>
                  </w:tcBorders>
                  <w:shd w:val="clear" w:color="auto" w:fill="auto"/>
                  <w:noWrap w:val="0"/>
                  <w:vAlign w:val="center"/>
                </w:tcPr>
                <w:p w14:paraId="76186A97">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6</w:t>
                  </w:r>
                </w:p>
              </w:tc>
              <w:tc>
                <w:tcPr>
                  <w:tcW w:w="951" w:type="dxa"/>
                  <w:tcBorders>
                    <w:tl2br w:val="nil"/>
                    <w:tr2bl w:val="nil"/>
                  </w:tcBorders>
                  <w:shd w:val="clear" w:color="auto" w:fill="auto"/>
                  <w:noWrap w:val="0"/>
                  <w:vAlign w:val="center"/>
                </w:tcPr>
                <w:p w14:paraId="4FD650CD">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ND</w:t>
                  </w:r>
                </w:p>
              </w:tc>
              <w:tc>
                <w:tcPr>
                  <w:tcW w:w="950" w:type="dxa"/>
                  <w:tcBorders>
                    <w:tl2br w:val="nil"/>
                    <w:tr2bl w:val="nil"/>
                  </w:tcBorders>
                  <w:shd w:val="clear" w:color="auto" w:fill="auto"/>
                  <w:noWrap w:val="0"/>
                  <w:vAlign w:val="center"/>
                </w:tcPr>
                <w:p w14:paraId="240D75F4">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ND</w:t>
                  </w:r>
                </w:p>
              </w:tc>
              <w:tc>
                <w:tcPr>
                  <w:tcW w:w="952" w:type="dxa"/>
                  <w:tcBorders>
                    <w:tl2br w:val="nil"/>
                    <w:tr2bl w:val="nil"/>
                  </w:tcBorders>
                  <w:shd w:val="clear" w:color="auto" w:fill="auto"/>
                  <w:noWrap w:val="0"/>
                  <w:vAlign w:val="center"/>
                </w:tcPr>
                <w:p w14:paraId="755E3899">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6</w:t>
                  </w:r>
                </w:p>
              </w:tc>
            </w:tr>
            <w:tr w14:paraId="6D70F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1297" w:type="dxa"/>
                  <w:vMerge w:val="continue"/>
                  <w:tcBorders>
                    <w:tl2br w:val="nil"/>
                    <w:tr2bl w:val="nil"/>
                  </w:tcBorders>
                  <w:shd w:val="clear" w:color="auto" w:fill="FFFFFF" w:themeFill="background1"/>
                  <w:noWrap w:val="0"/>
                  <w:vAlign w:val="center"/>
                </w:tcPr>
                <w:p w14:paraId="108E8945">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6DF90A15">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tcBorders>
                    <w:tl2br w:val="nil"/>
                    <w:tr2bl w:val="nil"/>
                  </w:tcBorders>
                  <w:shd w:val="clear" w:color="auto" w:fill="auto"/>
                  <w:noWrap w:val="0"/>
                  <w:vAlign w:val="center"/>
                </w:tcPr>
                <w:p w14:paraId="35C11B2C">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氨氮</w:t>
                  </w:r>
                </w:p>
                <w:p w14:paraId="63F8EA6E">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(mg/L)</w:t>
                  </w:r>
                </w:p>
              </w:tc>
              <w:tc>
                <w:tcPr>
                  <w:tcW w:w="947" w:type="dxa"/>
                  <w:tcBorders>
                    <w:tl2br w:val="nil"/>
                    <w:tr2bl w:val="nil"/>
                  </w:tcBorders>
                  <w:shd w:val="clear" w:color="auto" w:fill="auto"/>
                  <w:noWrap w:val="0"/>
                  <w:vAlign w:val="center"/>
                </w:tcPr>
                <w:p w14:paraId="55D9CFF8">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0.068</w:t>
                  </w:r>
                </w:p>
              </w:tc>
              <w:tc>
                <w:tcPr>
                  <w:tcW w:w="951" w:type="dxa"/>
                  <w:tcBorders>
                    <w:tl2br w:val="nil"/>
                    <w:tr2bl w:val="nil"/>
                  </w:tcBorders>
                  <w:shd w:val="clear" w:color="auto" w:fill="auto"/>
                  <w:noWrap w:val="0"/>
                  <w:vAlign w:val="center"/>
                </w:tcPr>
                <w:p w14:paraId="647E7DB0">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0.096</w:t>
                  </w:r>
                </w:p>
              </w:tc>
              <w:tc>
                <w:tcPr>
                  <w:tcW w:w="950" w:type="dxa"/>
                  <w:tcBorders>
                    <w:tl2br w:val="nil"/>
                    <w:tr2bl w:val="nil"/>
                  </w:tcBorders>
                  <w:shd w:val="clear" w:color="auto" w:fill="auto"/>
                  <w:noWrap w:val="0"/>
                  <w:vAlign w:val="center"/>
                </w:tcPr>
                <w:p w14:paraId="7CC90BDB">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0.065</w:t>
                  </w:r>
                </w:p>
              </w:tc>
              <w:tc>
                <w:tcPr>
                  <w:tcW w:w="952" w:type="dxa"/>
                  <w:tcBorders>
                    <w:tl2br w:val="nil"/>
                    <w:tr2bl w:val="nil"/>
                  </w:tcBorders>
                  <w:shd w:val="clear" w:color="auto" w:fill="auto"/>
                  <w:noWrap w:val="0"/>
                  <w:vAlign w:val="center"/>
                </w:tcPr>
                <w:p w14:paraId="027D7C75">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0.086</w:t>
                  </w:r>
                </w:p>
              </w:tc>
            </w:tr>
            <w:tr w14:paraId="37624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1297" w:type="dxa"/>
                  <w:vMerge w:val="continue"/>
                  <w:tcBorders>
                    <w:tl2br w:val="nil"/>
                    <w:tr2bl w:val="nil"/>
                  </w:tcBorders>
                  <w:shd w:val="clear" w:color="auto" w:fill="FFFFFF" w:themeFill="background1"/>
                  <w:noWrap w:val="0"/>
                  <w:vAlign w:val="center"/>
                </w:tcPr>
                <w:p w14:paraId="4430794C">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133B3AA6">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tcBorders>
                    <w:tl2br w:val="nil"/>
                    <w:tr2bl w:val="nil"/>
                  </w:tcBorders>
                  <w:shd w:val="clear" w:color="auto" w:fill="auto"/>
                  <w:noWrap w:val="0"/>
                  <w:vAlign w:val="center"/>
                </w:tcPr>
                <w:p w14:paraId="29BA8AF2">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悬浮物</w:t>
                  </w:r>
                </w:p>
                <w:p w14:paraId="0A017932">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(mg/L)</w:t>
                  </w:r>
                </w:p>
              </w:tc>
              <w:tc>
                <w:tcPr>
                  <w:tcW w:w="947" w:type="dxa"/>
                  <w:tcBorders>
                    <w:tl2br w:val="nil"/>
                    <w:tr2bl w:val="nil"/>
                  </w:tcBorders>
                  <w:shd w:val="clear" w:color="auto" w:fill="auto"/>
                  <w:noWrap w:val="0"/>
                  <w:vAlign w:val="center"/>
                </w:tcPr>
                <w:p w14:paraId="73ADE547">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21</w:t>
                  </w:r>
                </w:p>
              </w:tc>
              <w:tc>
                <w:tcPr>
                  <w:tcW w:w="951" w:type="dxa"/>
                  <w:tcBorders>
                    <w:tl2br w:val="nil"/>
                    <w:tr2bl w:val="nil"/>
                  </w:tcBorders>
                  <w:shd w:val="clear" w:color="auto" w:fill="auto"/>
                  <w:noWrap w:val="0"/>
                  <w:vAlign w:val="center"/>
                </w:tcPr>
                <w:p w14:paraId="668DBBCF">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18</w:t>
                  </w:r>
                </w:p>
              </w:tc>
              <w:tc>
                <w:tcPr>
                  <w:tcW w:w="950" w:type="dxa"/>
                  <w:tcBorders>
                    <w:tl2br w:val="nil"/>
                    <w:tr2bl w:val="nil"/>
                  </w:tcBorders>
                  <w:shd w:val="clear" w:color="auto" w:fill="auto"/>
                  <w:noWrap w:val="0"/>
                  <w:vAlign w:val="center"/>
                </w:tcPr>
                <w:p w14:paraId="03C0D8D4">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15</w:t>
                  </w:r>
                </w:p>
              </w:tc>
              <w:tc>
                <w:tcPr>
                  <w:tcW w:w="952" w:type="dxa"/>
                  <w:tcBorders>
                    <w:tl2br w:val="nil"/>
                    <w:tr2bl w:val="nil"/>
                  </w:tcBorders>
                  <w:shd w:val="clear" w:color="auto" w:fill="auto"/>
                  <w:noWrap w:val="0"/>
                  <w:vAlign w:val="center"/>
                </w:tcPr>
                <w:p w14:paraId="6FDF8E40">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20</w:t>
                  </w:r>
                </w:p>
              </w:tc>
            </w:tr>
            <w:tr w14:paraId="26C3A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1297" w:type="dxa"/>
                  <w:vMerge w:val="continue"/>
                  <w:tcBorders>
                    <w:tl2br w:val="nil"/>
                    <w:tr2bl w:val="nil"/>
                  </w:tcBorders>
                  <w:shd w:val="clear" w:color="auto" w:fill="FFFFFF" w:themeFill="background1"/>
                  <w:noWrap w:val="0"/>
                  <w:vAlign w:val="center"/>
                </w:tcPr>
                <w:p w14:paraId="2CD6AA00">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3895839F">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tcBorders>
                    <w:tl2br w:val="nil"/>
                    <w:tr2bl w:val="nil"/>
                  </w:tcBorders>
                  <w:shd w:val="clear" w:color="auto" w:fill="auto"/>
                  <w:noWrap w:val="0"/>
                  <w:vAlign w:val="center"/>
                </w:tcPr>
                <w:p w14:paraId="71A23D19">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石油类(mg/L)</w:t>
                  </w:r>
                </w:p>
              </w:tc>
              <w:tc>
                <w:tcPr>
                  <w:tcW w:w="947" w:type="dxa"/>
                  <w:tcBorders>
                    <w:tl2br w:val="nil"/>
                    <w:tr2bl w:val="nil"/>
                  </w:tcBorders>
                  <w:shd w:val="clear" w:color="auto" w:fill="auto"/>
                  <w:noWrap w:val="0"/>
                  <w:vAlign w:val="center"/>
                </w:tcPr>
                <w:p w14:paraId="7A35BE75">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0.45</w:t>
                  </w:r>
                </w:p>
              </w:tc>
              <w:tc>
                <w:tcPr>
                  <w:tcW w:w="951" w:type="dxa"/>
                  <w:tcBorders>
                    <w:tl2br w:val="nil"/>
                    <w:tr2bl w:val="nil"/>
                  </w:tcBorders>
                  <w:shd w:val="clear" w:color="auto" w:fill="auto"/>
                  <w:noWrap w:val="0"/>
                  <w:vAlign w:val="center"/>
                </w:tcPr>
                <w:p w14:paraId="77253337">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0.17</w:t>
                  </w:r>
                </w:p>
              </w:tc>
              <w:tc>
                <w:tcPr>
                  <w:tcW w:w="950" w:type="dxa"/>
                  <w:tcBorders>
                    <w:tl2br w:val="nil"/>
                    <w:tr2bl w:val="nil"/>
                  </w:tcBorders>
                  <w:shd w:val="clear" w:color="auto" w:fill="auto"/>
                  <w:noWrap w:val="0"/>
                  <w:vAlign w:val="center"/>
                </w:tcPr>
                <w:p w14:paraId="1BBC745F">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0.26</w:t>
                  </w:r>
                </w:p>
              </w:tc>
              <w:tc>
                <w:tcPr>
                  <w:tcW w:w="952" w:type="dxa"/>
                  <w:tcBorders>
                    <w:tl2br w:val="nil"/>
                    <w:tr2bl w:val="nil"/>
                  </w:tcBorders>
                  <w:shd w:val="clear" w:color="auto" w:fill="auto"/>
                  <w:noWrap w:val="0"/>
                  <w:vAlign w:val="center"/>
                </w:tcPr>
                <w:p w14:paraId="44409471">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0.45</w:t>
                  </w:r>
                </w:p>
              </w:tc>
            </w:tr>
            <w:tr w14:paraId="7C7FB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1297" w:type="dxa"/>
                  <w:vMerge w:val="continue"/>
                  <w:tcBorders>
                    <w:tl2br w:val="nil"/>
                    <w:tr2bl w:val="nil"/>
                  </w:tcBorders>
                  <w:shd w:val="clear" w:color="auto" w:fill="FFFFFF" w:themeFill="background1"/>
                  <w:noWrap w:val="0"/>
                  <w:vAlign w:val="center"/>
                </w:tcPr>
                <w:p w14:paraId="68CBE8D5">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1C52D69A">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tcBorders>
                    <w:tl2br w:val="nil"/>
                    <w:tr2bl w:val="nil"/>
                  </w:tcBorders>
                  <w:shd w:val="clear" w:color="auto" w:fill="auto"/>
                  <w:noWrap w:val="0"/>
                  <w:vAlign w:val="center"/>
                </w:tcPr>
                <w:p w14:paraId="283CE085">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动植物油类(mg/L)</w:t>
                  </w:r>
                </w:p>
              </w:tc>
              <w:tc>
                <w:tcPr>
                  <w:tcW w:w="947" w:type="dxa"/>
                  <w:tcBorders>
                    <w:tl2br w:val="nil"/>
                    <w:tr2bl w:val="nil"/>
                  </w:tcBorders>
                  <w:shd w:val="clear" w:color="auto" w:fill="auto"/>
                  <w:noWrap w:val="0"/>
                  <w:vAlign w:val="center"/>
                </w:tcPr>
                <w:p w14:paraId="6A1BEFC4">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0.88</w:t>
                  </w:r>
                </w:p>
              </w:tc>
              <w:tc>
                <w:tcPr>
                  <w:tcW w:w="951" w:type="dxa"/>
                  <w:tcBorders>
                    <w:tl2br w:val="nil"/>
                    <w:tr2bl w:val="nil"/>
                  </w:tcBorders>
                  <w:shd w:val="clear" w:color="auto" w:fill="auto"/>
                  <w:noWrap w:val="0"/>
                  <w:vAlign w:val="center"/>
                </w:tcPr>
                <w:p w14:paraId="20A5A2A6">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0.45</w:t>
                  </w:r>
                </w:p>
              </w:tc>
              <w:tc>
                <w:tcPr>
                  <w:tcW w:w="950" w:type="dxa"/>
                  <w:tcBorders>
                    <w:tl2br w:val="nil"/>
                    <w:tr2bl w:val="nil"/>
                  </w:tcBorders>
                  <w:shd w:val="clear" w:color="auto" w:fill="auto"/>
                  <w:noWrap w:val="0"/>
                  <w:vAlign w:val="center"/>
                </w:tcPr>
                <w:p w14:paraId="1196C066">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1.20</w:t>
                  </w:r>
                </w:p>
              </w:tc>
              <w:tc>
                <w:tcPr>
                  <w:tcW w:w="952" w:type="dxa"/>
                  <w:tcBorders>
                    <w:tl2br w:val="nil"/>
                    <w:tr2bl w:val="nil"/>
                  </w:tcBorders>
                  <w:shd w:val="clear" w:color="auto" w:fill="auto"/>
                  <w:noWrap w:val="0"/>
                  <w:vAlign w:val="center"/>
                </w:tcPr>
                <w:p w14:paraId="62DD10DB">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0.69</w:t>
                  </w:r>
                </w:p>
              </w:tc>
            </w:tr>
            <w:tr w14:paraId="5303F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1297" w:type="dxa"/>
                  <w:vMerge w:val="continue"/>
                  <w:tcBorders>
                    <w:tl2br w:val="nil"/>
                    <w:tr2bl w:val="nil"/>
                  </w:tcBorders>
                  <w:shd w:val="clear" w:color="auto" w:fill="FFFFFF" w:themeFill="background1"/>
                  <w:noWrap w:val="0"/>
                  <w:vAlign w:val="center"/>
                </w:tcPr>
                <w:p w14:paraId="2C75D035">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7C7256E4">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tcBorders>
                    <w:tl2br w:val="nil"/>
                    <w:tr2bl w:val="nil"/>
                  </w:tcBorders>
                  <w:shd w:val="clear" w:color="auto" w:fill="auto"/>
                  <w:noWrap w:val="0"/>
                  <w:vAlign w:val="center"/>
                </w:tcPr>
                <w:p w14:paraId="62D80F47">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阴离子表面活性剂(mg/L)</w:t>
                  </w:r>
                </w:p>
              </w:tc>
              <w:tc>
                <w:tcPr>
                  <w:tcW w:w="947" w:type="dxa"/>
                  <w:tcBorders>
                    <w:tl2br w:val="nil"/>
                    <w:tr2bl w:val="nil"/>
                  </w:tcBorders>
                  <w:shd w:val="clear" w:color="auto" w:fill="auto"/>
                  <w:noWrap w:val="0"/>
                  <w:vAlign w:val="center"/>
                </w:tcPr>
                <w:p w14:paraId="057062D5">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ND</w:t>
                  </w:r>
                </w:p>
              </w:tc>
              <w:tc>
                <w:tcPr>
                  <w:tcW w:w="951" w:type="dxa"/>
                  <w:tcBorders>
                    <w:tl2br w:val="nil"/>
                    <w:tr2bl w:val="nil"/>
                  </w:tcBorders>
                  <w:shd w:val="clear" w:color="auto" w:fill="auto"/>
                  <w:noWrap w:val="0"/>
                  <w:vAlign w:val="center"/>
                </w:tcPr>
                <w:p w14:paraId="64253489">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ND</w:t>
                  </w:r>
                </w:p>
              </w:tc>
              <w:tc>
                <w:tcPr>
                  <w:tcW w:w="950" w:type="dxa"/>
                  <w:tcBorders>
                    <w:tl2br w:val="nil"/>
                    <w:tr2bl w:val="nil"/>
                  </w:tcBorders>
                  <w:shd w:val="clear" w:color="auto" w:fill="auto"/>
                  <w:noWrap w:val="0"/>
                  <w:vAlign w:val="center"/>
                </w:tcPr>
                <w:p w14:paraId="0674DE52">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ND</w:t>
                  </w:r>
                </w:p>
              </w:tc>
              <w:tc>
                <w:tcPr>
                  <w:tcW w:w="952" w:type="dxa"/>
                  <w:tcBorders>
                    <w:tl2br w:val="nil"/>
                    <w:tr2bl w:val="nil"/>
                  </w:tcBorders>
                  <w:shd w:val="clear" w:color="auto" w:fill="auto"/>
                  <w:noWrap w:val="0"/>
                  <w:vAlign w:val="center"/>
                </w:tcPr>
                <w:p w14:paraId="3F45FE54">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ND</w:t>
                  </w:r>
                </w:p>
              </w:tc>
            </w:tr>
            <w:tr w14:paraId="1904C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1" w:hRule="atLeast"/>
              </w:trPr>
              <w:tc>
                <w:tcPr>
                  <w:tcW w:w="1297" w:type="dxa"/>
                  <w:vMerge w:val="continue"/>
                  <w:tcBorders>
                    <w:tl2br w:val="nil"/>
                    <w:tr2bl w:val="nil"/>
                  </w:tcBorders>
                  <w:shd w:val="clear" w:color="auto" w:fill="FFFFFF" w:themeFill="background1"/>
                  <w:noWrap w:val="0"/>
                  <w:vAlign w:val="center"/>
                </w:tcPr>
                <w:p w14:paraId="0BF52F1C">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restart"/>
                  <w:tcBorders>
                    <w:tl2br w:val="nil"/>
                    <w:tr2bl w:val="nil"/>
                  </w:tcBorders>
                  <w:shd w:val="clear" w:color="auto" w:fill="FFFFFF" w:themeFill="background1"/>
                  <w:noWrap w:val="0"/>
                  <w:vAlign w:val="center"/>
                </w:tcPr>
                <w:p w14:paraId="279410E0">
                  <w:pPr>
                    <w:pStyle w:val="24"/>
                    <w:keepNext w:val="0"/>
                    <w:keepLines w:val="0"/>
                    <w:suppressLineNumbers w:val="0"/>
                    <w:bidi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cs="Times New Roman"/>
                      <w:lang w:val="en-US" w:eastAsia="zh-CN"/>
                    </w:rPr>
                    <w:t>2025.12.24</w:t>
                  </w:r>
                </w:p>
              </w:tc>
              <w:tc>
                <w:tcPr>
                  <w:tcW w:w="1988" w:type="dxa"/>
                  <w:tcBorders>
                    <w:tl2br w:val="nil"/>
                    <w:tr2bl w:val="nil"/>
                  </w:tcBorders>
                  <w:shd w:val="clear" w:color="auto" w:fill="auto"/>
                  <w:noWrap w:val="0"/>
                  <w:vAlign w:val="center"/>
                </w:tcPr>
                <w:p w14:paraId="333A76C4">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pH值</w:t>
                  </w:r>
                </w:p>
                <w:p w14:paraId="2A7105D8">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(无量纲)</w:t>
                  </w:r>
                </w:p>
              </w:tc>
              <w:tc>
                <w:tcPr>
                  <w:tcW w:w="947" w:type="dxa"/>
                  <w:tcBorders>
                    <w:tl2br w:val="nil"/>
                    <w:tr2bl w:val="nil"/>
                  </w:tcBorders>
                  <w:shd w:val="clear" w:color="auto" w:fill="auto"/>
                  <w:noWrap w:val="0"/>
                  <w:vAlign w:val="center"/>
                </w:tcPr>
                <w:p w14:paraId="2D14D2D8">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7.5</w:t>
                  </w:r>
                </w:p>
                <w:p w14:paraId="4C32086C">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(11.8℃)</w:t>
                  </w:r>
                </w:p>
              </w:tc>
              <w:tc>
                <w:tcPr>
                  <w:tcW w:w="951" w:type="dxa"/>
                  <w:tcBorders>
                    <w:tl2br w:val="nil"/>
                    <w:tr2bl w:val="nil"/>
                  </w:tcBorders>
                  <w:shd w:val="clear" w:color="auto" w:fill="auto"/>
                  <w:noWrap w:val="0"/>
                  <w:vAlign w:val="center"/>
                </w:tcPr>
                <w:p w14:paraId="7033991C">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7.9</w:t>
                  </w:r>
                </w:p>
                <w:p w14:paraId="46FB1781">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(11.6℃)</w:t>
                  </w:r>
                </w:p>
              </w:tc>
              <w:tc>
                <w:tcPr>
                  <w:tcW w:w="950" w:type="dxa"/>
                  <w:tcBorders>
                    <w:tl2br w:val="nil"/>
                    <w:tr2bl w:val="nil"/>
                  </w:tcBorders>
                  <w:shd w:val="clear" w:color="auto" w:fill="auto"/>
                  <w:noWrap w:val="0"/>
                  <w:vAlign w:val="center"/>
                </w:tcPr>
                <w:p w14:paraId="27B553AF">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8.0</w:t>
                  </w:r>
                </w:p>
                <w:p w14:paraId="1D64BCE4">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(11.7℃)</w:t>
                  </w:r>
                </w:p>
              </w:tc>
              <w:tc>
                <w:tcPr>
                  <w:tcW w:w="952" w:type="dxa"/>
                  <w:tcBorders>
                    <w:tl2br w:val="nil"/>
                    <w:tr2bl w:val="nil"/>
                  </w:tcBorders>
                  <w:shd w:val="clear" w:color="auto" w:fill="auto"/>
                  <w:noWrap w:val="0"/>
                  <w:vAlign w:val="center"/>
                </w:tcPr>
                <w:p w14:paraId="5F191A25">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8.0</w:t>
                  </w:r>
                </w:p>
                <w:p w14:paraId="2EAAE0F9">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(11.4℃)</w:t>
                  </w:r>
                </w:p>
              </w:tc>
            </w:tr>
            <w:tr w14:paraId="334D6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612" w:hRule="atLeast"/>
              </w:trPr>
              <w:tc>
                <w:tcPr>
                  <w:tcW w:w="1297" w:type="dxa"/>
                  <w:vMerge w:val="continue"/>
                  <w:tcBorders>
                    <w:tl2br w:val="nil"/>
                    <w:tr2bl w:val="nil"/>
                  </w:tcBorders>
                  <w:shd w:val="clear" w:color="auto" w:fill="FFFFFF" w:themeFill="background1"/>
                  <w:noWrap w:val="0"/>
                  <w:vAlign w:val="center"/>
                </w:tcPr>
                <w:p w14:paraId="59426B55">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3BC9B0F6">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tcBorders>
                    <w:tl2br w:val="nil"/>
                    <w:tr2bl w:val="nil"/>
                  </w:tcBorders>
                  <w:shd w:val="clear" w:color="auto" w:fill="auto"/>
                  <w:noWrap w:val="0"/>
                  <w:vAlign w:val="center"/>
                </w:tcPr>
                <w:p w14:paraId="5259C2C5">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化学需氧量(mg/L)</w:t>
                  </w:r>
                </w:p>
              </w:tc>
              <w:tc>
                <w:tcPr>
                  <w:tcW w:w="947" w:type="dxa"/>
                  <w:tcBorders>
                    <w:tl2br w:val="nil"/>
                    <w:tr2bl w:val="nil"/>
                  </w:tcBorders>
                  <w:shd w:val="clear" w:color="auto" w:fill="auto"/>
                  <w:noWrap w:val="0"/>
                  <w:vAlign w:val="center"/>
                </w:tcPr>
                <w:p w14:paraId="724573F3">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5</w:t>
                  </w:r>
                </w:p>
              </w:tc>
              <w:tc>
                <w:tcPr>
                  <w:tcW w:w="951" w:type="dxa"/>
                  <w:tcBorders>
                    <w:tl2br w:val="nil"/>
                    <w:tr2bl w:val="nil"/>
                  </w:tcBorders>
                  <w:shd w:val="clear" w:color="auto" w:fill="auto"/>
                  <w:noWrap w:val="0"/>
                  <w:vAlign w:val="center"/>
                </w:tcPr>
                <w:p w14:paraId="2739B2EA">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ND</w:t>
                  </w:r>
                </w:p>
              </w:tc>
              <w:tc>
                <w:tcPr>
                  <w:tcW w:w="950" w:type="dxa"/>
                  <w:tcBorders>
                    <w:tl2br w:val="nil"/>
                    <w:tr2bl w:val="nil"/>
                  </w:tcBorders>
                  <w:shd w:val="clear" w:color="auto" w:fill="auto"/>
                  <w:noWrap w:val="0"/>
                  <w:vAlign w:val="center"/>
                </w:tcPr>
                <w:p w14:paraId="759CC10F">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4</w:t>
                  </w:r>
                </w:p>
              </w:tc>
              <w:tc>
                <w:tcPr>
                  <w:tcW w:w="952" w:type="dxa"/>
                  <w:tcBorders>
                    <w:tl2br w:val="nil"/>
                    <w:tr2bl w:val="nil"/>
                  </w:tcBorders>
                  <w:shd w:val="clear" w:color="auto" w:fill="auto"/>
                  <w:noWrap w:val="0"/>
                  <w:vAlign w:val="center"/>
                </w:tcPr>
                <w:p w14:paraId="7D2FE664">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4</w:t>
                  </w:r>
                </w:p>
              </w:tc>
            </w:tr>
            <w:tr w14:paraId="4BF3A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1297" w:type="dxa"/>
                  <w:vMerge w:val="continue"/>
                  <w:tcBorders>
                    <w:tl2br w:val="nil"/>
                    <w:tr2bl w:val="nil"/>
                  </w:tcBorders>
                  <w:shd w:val="clear" w:color="auto" w:fill="FFFFFF" w:themeFill="background1"/>
                  <w:noWrap w:val="0"/>
                  <w:vAlign w:val="center"/>
                </w:tcPr>
                <w:p w14:paraId="43C05094">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6185008B">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tcBorders>
                    <w:tl2br w:val="nil"/>
                    <w:tr2bl w:val="nil"/>
                  </w:tcBorders>
                  <w:shd w:val="clear" w:color="auto" w:fill="auto"/>
                  <w:noWrap w:val="0"/>
                  <w:vAlign w:val="center"/>
                </w:tcPr>
                <w:p w14:paraId="542D0551">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氨氮</w:t>
                  </w:r>
                </w:p>
                <w:p w14:paraId="1D5C9CB6">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(mg/L)</w:t>
                  </w:r>
                </w:p>
              </w:tc>
              <w:tc>
                <w:tcPr>
                  <w:tcW w:w="947" w:type="dxa"/>
                  <w:tcBorders>
                    <w:tl2br w:val="nil"/>
                    <w:tr2bl w:val="nil"/>
                  </w:tcBorders>
                  <w:shd w:val="clear" w:color="auto" w:fill="auto"/>
                  <w:noWrap w:val="0"/>
                  <w:vAlign w:val="center"/>
                </w:tcPr>
                <w:p w14:paraId="6A8BDFD3">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0.070</w:t>
                  </w:r>
                </w:p>
              </w:tc>
              <w:tc>
                <w:tcPr>
                  <w:tcW w:w="951" w:type="dxa"/>
                  <w:tcBorders>
                    <w:tl2br w:val="nil"/>
                    <w:tr2bl w:val="nil"/>
                  </w:tcBorders>
                  <w:shd w:val="clear" w:color="auto" w:fill="auto"/>
                  <w:noWrap w:val="0"/>
                  <w:vAlign w:val="center"/>
                </w:tcPr>
                <w:p w14:paraId="0C644032">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0.101</w:t>
                  </w:r>
                </w:p>
              </w:tc>
              <w:tc>
                <w:tcPr>
                  <w:tcW w:w="950" w:type="dxa"/>
                  <w:tcBorders>
                    <w:tl2br w:val="nil"/>
                    <w:tr2bl w:val="nil"/>
                  </w:tcBorders>
                  <w:shd w:val="clear" w:color="auto" w:fill="auto"/>
                  <w:noWrap w:val="0"/>
                  <w:vAlign w:val="center"/>
                </w:tcPr>
                <w:p w14:paraId="687245BA">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0.118</w:t>
                  </w:r>
                </w:p>
              </w:tc>
              <w:tc>
                <w:tcPr>
                  <w:tcW w:w="952" w:type="dxa"/>
                  <w:tcBorders>
                    <w:tl2br w:val="nil"/>
                    <w:tr2bl w:val="nil"/>
                  </w:tcBorders>
                  <w:shd w:val="clear" w:color="auto" w:fill="auto"/>
                  <w:noWrap w:val="0"/>
                  <w:vAlign w:val="center"/>
                </w:tcPr>
                <w:p w14:paraId="2BA84E35">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0.119</w:t>
                  </w:r>
                </w:p>
              </w:tc>
            </w:tr>
            <w:tr w14:paraId="5E5F8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1297" w:type="dxa"/>
                  <w:vMerge w:val="continue"/>
                  <w:tcBorders>
                    <w:tl2br w:val="nil"/>
                    <w:tr2bl w:val="nil"/>
                  </w:tcBorders>
                  <w:shd w:val="clear" w:color="auto" w:fill="FFFFFF" w:themeFill="background1"/>
                  <w:noWrap w:val="0"/>
                  <w:vAlign w:val="center"/>
                </w:tcPr>
                <w:p w14:paraId="5979E068">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7BE81264">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tcBorders>
                    <w:tl2br w:val="nil"/>
                    <w:tr2bl w:val="nil"/>
                  </w:tcBorders>
                  <w:shd w:val="clear" w:color="auto" w:fill="auto"/>
                  <w:noWrap w:val="0"/>
                  <w:vAlign w:val="center"/>
                </w:tcPr>
                <w:p w14:paraId="13F05F26">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悬浮物</w:t>
                  </w:r>
                </w:p>
                <w:p w14:paraId="4F896501">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(mg/L)</w:t>
                  </w:r>
                </w:p>
              </w:tc>
              <w:tc>
                <w:tcPr>
                  <w:tcW w:w="947" w:type="dxa"/>
                  <w:tcBorders>
                    <w:tl2br w:val="nil"/>
                    <w:tr2bl w:val="nil"/>
                  </w:tcBorders>
                  <w:shd w:val="clear" w:color="auto" w:fill="auto"/>
                  <w:noWrap w:val="0"/>
                  <w:vAlign w:val="center"/>
                </w:tcPr>
                <w:p w14:paraId="4AB7E61B">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16</w:t>
                  </w:r>
                </w:p>
              </w:tc>
              <w:tc>
                <w:tcPr>
                  <w:tcW w:w="951" w:type="dxa"/>
                  <w:tcBorders>
                    <w:tl2br w:val="nil"/>
                    <w:tr2bl w:val="nil"/>
                  </w:tcBorders>
                  <w:shd w:val="clear" w:color="auto" w:fill="auto"/>
                  <w:noWrap w:val="0"/>
                  <w:vAlign w:val="center"/>
                </w:tcPr>
                <w:p w14:paraId="17BD47B0">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20</w:t>
                  </w:r>
                </w:p>
              </w:tc>
              <w:tc>
                <w:tcPr>
                  <w:tcW w:w="950" w:type="dxa"/>
                  <w:tcBorders>
                    <w:tl2br w:val="nil"/>
                    <w:tr2bl w:val="nil"/>
                  </w:tcBorders>
                  <w:shd w:val="clear" w:color="auto" w:fill="auto"/>
                  <w:noWrap w:val="0"/>
                  <w:vAlign w:val="center"/>
                </w:tcPr>
                <w:p w14:paraId="723234C7">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26</w:t>
                  </w:r>
                </w:p>
              </w:tc>
              <w:tc>
                <w:tcPr>
                  <w:tcW w:w="952" w:type="dxa"/>
                  <w:tcBorders>
                    <w:tl2br w:val="nil"/>
                    <w:tr2bl w:val="nil"/>
                  </w:tcBorders>
                  <w:shd w:val="clear" w:color="auto" w:fill="auto"/>
                  <w:noWrap w:val="0"/>
                  <w:vAlign w:val="center"/>
                </w:tcPr>
                <w:p w14:paraId="294EF194">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19</w:t>
                  </w:r>
                </w:p>
              </w:tc>
            </w:tr>
            <w:tr w14:paraId="44A83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1297" w:type="dxa"/>
                  <w:vMerge w:val="continue"/>
                  <w:tcBorders>
                    <w:tl2br w:val="nil"/>
                    <w:tr2bl w:val="nil"/>
                  </w:tcBorders>
                  <w:shd w:val="clear" w:color="auto" w:fill="FFFFFF" w:themeFill="background1"/>
                  <w:noWrap w:val="0"/>
                  <w:vAlign w:val="center"/>
                </w:tcPr>
                <w:p w14:paraId="53B8D35D">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1F4BBE08">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tcBorders>
                    <w:tl2br w:val="nil"/>
                    <w:tr2bl w:val="nil"/>
                  </w:tcBorders>
                  <w:shd w:val="clear" w:color="auto" w:fill="auto"/>
                  <w:noWrap w:val="0"/>
                  <w:vAlign w:val="center"/>
                </w:tcPr>
                <w:p w14:paraId="3A76CB0E">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石油类(mg/L)</w:t>
                  </w:r>
                </w:p>
              </w:tc>
              <w:tc>
                <w:tcPr>
                  <w:tcW w:w="947" w:type="dxa"/>
                  <w:tcBorders>
                    <w:tl2br w:val="nil"/>
                    <w:tr2bl w:val="nil"/>
                  </w:tcBorders>
                  <w:shd w:val="clear" w:color="auto" w:fill="auto"/>
                  <w:noWrap w:val="0"/>
                  <w:vAlign w:val="center"/>
                </w:tcPr>
                <w:p w14:paraId="174D4FA0">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0.68</w:t>
                  </w:r>
                </w:p>
              </w:tc>
              <w:tc>
                <w:tcPr>
                  <w:tcW w:w="951" w:type="dxa"/>
                  <w:tcBorders>
                    <w:tl2br w:val="nil"/>
                    <w:tr2bl w:val="nil"/>
                  </w:tcBorders>
                  <w:shd w:val="clear" w:color="auto" w:fill="auto"/>
                  <w:noWrap w:val="0"/>
                  <w:vAlign w:val="center"/>
                </w:tcPr>
                <w:p w14:paraId="526511D9">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0.12</w:t>
                  </w:r>
                </w:p>
              </w:tc>
              <w:tc>
                <w:tcPr>
                  <w:tcW w:w="950" w:type="dxa"/>
                  <w:tcBorders>
                    <w:tl2br w:val="nil"/>
                    <w:tr2bl w:val="nil"/>
                  </w:tcBorders>
                  <w:shd w:val="clear" w:color="auto" w:fill="auto"/>
                  <w:noWrap w:val="0"/>
                  <w:vAlign w:val="center"/>
                </w:tcPr>
                <w:p w14:paraId="33C55E44">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0.18</w:t>
                  </w:r>
                </w:p>
              </w:tc>
              <w:tc>
                <w:tcPr>
                  <w:tcW w:w="952" w:type="dxa"/>
                  <w:tcBorders>
                    <w:tl2br w:val="nil"/>
                    <w:tr2bl w:val="nil"/>
                  </w:tcBorders>
                  <w:shd w:val="clear" w:color="auto" w:fill="auto"/>
                  <w:noWrap w:val="0"/>
                  <w:vAlign w:val="center"/>
                </w:tcPr>
                <w:p w14:paraId="629C7949">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0.39</w:t>
                  </w:r>
                </w:p>
              </w:tc>
            </w:tr>
            <w:tr w14:paraId="3866B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1297" w:type="dxa"/>
                  <w:vMerge w:val="continue"/>
                  <w:tcBorders>
                    <w:tl2br w:val="nil"/>
                    <w:tr2bl w:val="nil"/>
                  </w:tcBorders>
                  <w:shd w:val="clear" w:color="auto" w:fill="FFFFFF" w:themeFill="background1"/>
                  <w:noWrap w:val="0"/>
                  <w:vAlign w:val="center"/>
                </w:tcPr>
                <w:p w14:paraId="7AFFD7D0">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1E318BB7">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tcBorders>
                    <w:tl2br w:val="nil"/>
                    <w:tr2bl w:val="nil"/>
                  </w:tcBorders>
                  <w:shd w:val="clear" w:color="auto" w:fill="auto"/>
                  <w:noWrap w:val="0"/>
                  <w:vAlign w:val="center"/>
                </w:tcPr>
                <w:p w14:paraId="20CD722A">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动植物油类(mg/L)</w:t>
                  </w:r>
                </w:p>
              </w:tc>
              <w:tc>
                <w:tcPr>
                  <w:tcW w:w="947" w:type="dxa"/>
                  <w:tcBorders>
                    <w:tl2br w:val="nil"/>
                    <w:tr2bl w:val="nil"/>
                  </w:tcBorders>
                  <w:shd w:val="clear" w:color="auto" w:fill="auto"/>
                  <w:noWrap w:val="0"/>
                  <w:vAlign w:val="center"/>
                </w:tcPr>
                <w:p w14:paraId="69CEF8F0">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0.76</w:t>
                  </w:r>
                </w:p>
              </w:tc>
              <w:tc>
                <w:tcPr>
                  <w:tcW w:w="951" w:type="dxa"/>
                  <w:tcBorders>
                    <w:tl2br w:val="nil"/>
                    <w:tr2bl w:val="nil"/>
                  </w:tcBorders>
                  <w:shd w:val="clear" w:color="auto" w:fill="auto"/>
                  <w:noWrap w:val="0"/>
                  <w:vAlign w:val="center"/>
                </w:tcPr>
                <w:p w14:paraId="4A8AA635">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0.45</w:t>
                  </w:r>
                </w:p>
              </w:tc>
              <w:tc>
                <w:tcPr>
                  <w:tcW w:w="950" w:type="dxa"/>
                  <w:tcBorders>
                    <w:tl2br w:val="nil"/>
                    <w:tr2bl w:val="nil"/>
                  </w:tcBorders>
                  <w:shd w:val="clear" w:color="auto" w:fill="auto"/>
                  <w:noWrap w:val="0"/>
                  <w:vAlign w:val="center"/>
                </w:tcPr>
                <w:p w14:paraId="6AB93770">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0.29</w:t>
                  </w:r>
                </w:p>
              </w:tc>
              <w:tc>
                <w:tcPr>
                  <w:tcW w:w="952" w:type="dxa"/>
                  <w:tcBorders>
                    <w:tl2br w:val="nil"/>
                    <w:tr2bl w:val="nil"/>
                  </w:tcBorders>
                  <w:shd w:val="clear" w:color="auto" w:fill="auto"/>
                  <w:noWrap w:val="0"/>
                  <w:vAlign w:val="center"/>
                </w:tcPr>
                <w:p w14:paraId="1CE0AA96">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0.32</w:t>
                  </w:r>
                </w:p>
              </w:tc>
            </w:tr>
            <w:tr w14:paraId="1AA73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1297" w:type="dxa"/>
                  <w:vMerge w:val="continue"/>
                  <w:tcBorders>
                    <w:tl2br w:val="nil"/>
                    <w:tr2bl w:val="nil"/>
                  </w:tcBorders>
                  <w:shd w:val="clear" w:color="auto" w:fill="FFFFFF" w:themeFill="background1"/>
                  <w:noWrap w:val="0"/>
                  <w:vAlign w:val="center"/>
                </w:tcPr>
                <w:p w14:paraId="0A0C004C">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653" w:type="dxa"/>
                  <w:vMerge w:val="continue"/>
                  <w:tcBorders>
                    <w:tl2br w:val="nil"/>
                    <w:tr2bl w:val="nil"/>
                  </w:tcBorders>
                  <w:shd w:val="clear" w:color="auto" w:fill="FFFFFF" w:themeFill="background1"/>
                  <w:noWrap w:val="0"/>
                  <w:vAlign w:val="center"/>
                </w:tcPr>
                <w:p w14:paraId="7ABD1A72">
                  <w:pPr>
                    <w:pStyle w:val="24"/>
                    <w:keepNext w:val="0"/>
                    <w:keepLines w:val="0"/>
                    <w:suppressLineNumbers w:val="0"/>
                    <w:bidi w:val="0"/>
                    <w:spacing w:before="0" w:beforeAutospacing="0" w:after="0" w:afterAutospacing="0"/>
                    <w:ind w:left="0" w:right="0"/>
                    <w:jc w:val="center"/>
                    <w:rPr>
                      <w:rFonts w:hint="default" w:ascii="Times New Roman" w:hAnsi="Times New Roman" w:cs="Times New Roman"/>
                    </w:rPr>
                  </w:pPr>
                </w:p>
              </w:tc>
              <w:tc>
                <w:tcPr>
                  <w:tcW w:w="1988" w:type="dxa"/>
                  <w:tcBorders>
                    <w:tl2br w:val="nil"/>
                    <w:tr2bl w:val="nil"/>
                  </w:tcBorders>
                  <w:shd w:val="clear" w:color="auto" w:fill="auto"/>
                  <w:noWrap w:val="0"/>
                  <w:vAlign w:val="center"/>
                </w:tcPr>
                <w:p w14:paraId="5450D50F">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阴离子表面活性剂(mg/L)</w:t>
                  </w:r>
                </w:p>
              </w:tc>
              <w:tc>
                <w:tcPr>
                  <w:tcW w:w="947" w:type="dxa"/>
                  <w:tcBorders>
                    <w:tl2br w:val="nil"/>
                    <w:tr2bl w:val="nil"/>
                  </w:tcBorders>
                  <w:shd w:val="clear" w:color="auto" w:fill="auto"/>
                  <w:noWrap w:val="0"/>
                  <w:vAlign w:val="center"/>
                </w:tcPr>
                <w:p w14:paraId="7AB0FB7E">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ND</w:t>
                  </w:r>
                </w:p>
              </w:tc>
              <w:tc>
                <w:tcPr>
                  <w:tcW w:w="951" w:type="dxa"/>
                  <w:tcBorders>
                    <w:tl2br w:val="nil"/>
                    <w:tr2bl w:val="nil"/>
                  </w:tcBorders>
                  <w:shd w:val="clear" w:color="auto" w:fill="auto"/>
                  <w:noWrap w:val="0"/>
                  <w:vAlign w:val="center"/>
                </w:tcPr>
                <w:p w14:paraId="59907A2A">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ND</w:t>
                  </w:r>
                </w:p>
              </w:tc>
              <w:tc>
                <w:tcPr>
                  <w:tcW w:w="950" w:type="dxa"/>
                  <w:tcBorders>
                    <w:tl2br w:val="nil"/>
                    <w:tr2bl w:val="nil"/>
                  </w:tcBorders>
                  <w:shd w:val="clear" w:color="auto" w:fill="auto"/>
                  <w:noWrap w:val="0"/>
                  <w:vAlign w:val="center"/>
                </w:tcPr>
                <w:p w14:paraId="0FB7B358">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ND</w:t>
                  </w:r>
                </w:p>
              </w:tc>
              <w:tc>
                <w:tcPr>
                  <w:tcW w:w="952" w:type="dxa"/>
                  <w:tcBorders>
                    <w:tl2br w:val="nil"/>
                    <w:tr2bl w:val="nil"/>
                  </w:tcBorders>
                  <w:shd w:val="clear" w:color="auto" w:fill="auto"/>
                  <w:noWrap w:val="0"/>
                  <w:vAlign w:val="center"/>
                </w:tcPr>
                <w:p w14:paraId="469BD967">
                  <w:pPr>
                    <w:pStyle w:val="24"/>
                    <w:bidi w:val="0"/>
                    <w:rPr>
                      <w:rFonts w:hint="default" w:ascii="Times New Roman" w:hAnsi="Times New Roman" w:cs="Times New Roman"/>
                      <w:lang w:val="en-US" w:eastAsia="zh-CN"/>
                    </w:rPr>
                  </w:pPr>
                  <w:r>
                    <w:rPr>
                      <w:rFonts w:hint="default" w:ascii="Times New Roman" w:hAnsi="Times New Roman" w:cs="Times New Roman"/>
                      <w:lang w:val="en-US" w:eastAsia="zh-CN"/>
                    </w:rPr>
                    <w:t>ND</w:t>
                  </w:r>
                </w:p>
              </w:tc>
            </w:tr>
          </w:tbl>
          <w:p w14:paraId="581A284F">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cs="Times New Roman"/>
              </w:rPr>
            </w:pPr>
            <w:r>
              <w:rPr>
                <w:rFonts w:hint="default" w:ascii="Times New Roman" w:hAnsi="Times New Roman" w:eastAsia="宋体" w:cs="Times New Roman"/>
                <w:bCs/>
                <w:snapToGrid w:val="0"/>
                <w:sz w:val="24"/>
                <w:szCs w:val="24"/>
                <w:lang w:val="en-US" w:eastAsia="zh-CN" w:bidi="ar"/>
              </w:rPr>
              <w:t>根据总排放口废水监测结果，厂区污水总排口废水中pH、COD、BOD</w:t>
            </w:r>
            <w:r>
              <w:rPr>
                <w:rFonts w:hint="default" w:ascii="Times New Roman" w:hAnsi="Times New Roman" w:eastAsia="宋体" w:cs="Times New Roman"/>
                <w:bCs/>
                <w:snapToGrid w:val="0"/>
                <w:sz w:val="24"/>
                <w:szCs w:val="24"/>
                <w:vertAlign w:val="subscript"/>
                <w:lang w:val="en-US" w:eastAsia="zh-CN" w:bidi="ar"/>
              </w:rPr>
              <w:t>5</w:t>
            </w:r>
            <w:r>
              <w:rPr>
                <w:rFonts w:hint="default" w:ascii="Times New Roman" w:hAnsi="Times New Roman" w:eastAsia="宋体" w:cs="Times New Roman"/>
                <w:bCs/>
                <w:snapToGrid w:val="0"/>
                <w:sz w:val="24"/>
                <w:szCs w:val="24"/>
                <w:lang w:val="en-US" w:eastAsia="zh-CN" w:bidi="ar"/>
              </w:rPr>
              <w:t>、氨氮、SS、石油类、LAS均达到城东污水处理厂接管标准。</w:t>
            </w:r>
          </w:p>
          <w:p w14:paraId="552FA25F">
            <w:pPr>
              <w:pStyle w:val="4"/>
              <w:suppressLineNumbers w:val="0"/>
              <w:bidi w:val="0"/>
              <w:spacing w:before="0" w:beforeAutospacing="0" w:after="0" w:afterAutospacing="0"/>
              <w:ind w:left="0" w:right="0"/>
              <w:rPr>
                <w:rFonts w:hint="default" w:ascii="Times New Roman" w:hAnsi="Times New Roman" w:cs="Times New Roman"/>
              </w:rPr>
            </w:pPr>
            <w:r>
              <w:rPr>
                <w:rFonts w:hint="default" w:ascii="Times New Roman" w:hAnsi="Times New Roman" w:cs="Times New Roman"/>
              </w:rPr>
              <w:t>7.2.3噪声</w:t>
            </w:r>
          </w:p>
          <w:p w14:paraId="22DFB61E">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32"/>
                <w:lang w:eastAsia="zh-CN"/>
              </w:rPr>
            </w:pPr>
            <w:r>
              <w:rPr>
                <w:rFonts w:hint="default" w:ascii="Times New Roman" w:hAnsi="Times New Roman" w:eastAsia="宋体" w:cs="Times New Roman"/>
                <w:sz w:val="24"/>
                <w:szCs w:val="32"/>
              </w:rPr>
              <w:t>厂界噪声监测结果见表7-</w:t>
            </w:r>
            <w:r>
              <w:rPr>
                <w:rFonts w:hint="default" w:ascii="Times New Roman" w:hAnsi="Times New Roman" w:eastAsia="宋体" w:cs="Times New Roman"/>
                <w:sz w:val="24"/>
                <w:szCs w:val="32"/>
                <w:lang w:val="en-US" w:eastAsia="zh-CN"/>
              </w:rPr>
              <w:t>6</w:t>
            </w:r>
          </w:p>
          <w:p w14:paraId="6D8A41D3">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szCs w:val="32"/>
              </w:rPr>
            </w:pPr>
            <w:r>
              <w:rPr>
                <w:rFonts w:hint="default" w:ascii="Times New Roman" w:hAnsi="Times New Roman" w:eastAsia="宋体" w:cs="Times New Roman"/>
                <w:b/>
                <w:szCs w:val="32"/>
              </w:rPr>
              <w:t>表7-</w:t>
            </w:r>
            <w:r>
              <w:rPr>
                <w:rFonts w:hint="default" w:ascii="Times New Roman" w:hAnsi="Times New Roman" w:eastAsia="宋体" w:cs="Times New Roman"/>
                <w:b/>
                <w:szCs w:val="32"/>
                <w:lang w:val="en-US" w:eastAsia="zh-CN"/>
              </w:rPr>
              <w:t>6</w:t>
            </w:r>
            <w:r>
              <w:rPr>
                <w:rFonts w:hint="default" w:ascii="Times New Roman" w:hAnsi="Times New Roman" w:eastAsia="宋体" w:cs="Times New Roman"/>
                <w:b/>
                <w:szCs w:val="32"/>
              </w:rPr>
              <w:t xml:space="preserve"> 厂界噪声监测结果 单位：dB(A)</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49"/>
              <w:gridCol w:w="1904"/>
              <w:gridCol w:w="1040"/>
              <w:gridCol w:w="1041"/>
              <w:gridCol w:w="1046"/>
              <w:gridCol w:w="1047"/>
              <w:gridCol w:w="1084"/>
              <w:gridCol w:w="687"/>
            </w:tblGrid>
            <w:tr w14:paraId="24A1C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 w:hRule="atLeast"/>
                <w:jc w:val="center"/>
              </w:trPr>
              <w:tc>
                <w:tcPr>
                  <w:tcW w:w="549"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F5A5B8B">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编号</w:t>
                  </w:r>
                </w:p>
              </w:tc>
              <w:tc>
                <w:tcPr>
                  <w:tcW w:w="190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D9ECD9A">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测点位置</w:t>
                  </w:r>
                </w:p>
                <w:p w14:paraId="5E1AB998">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监测结果</w:t>
                  </w:r>
                </w:p>
              </w:tc>
              <w:tc>
                <w:tcPr>
                  <w:tcW w:w="2081"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94FA4F3">
                  <w:pPr>
                    <w:keepNext w:val="0"/>
                    <w:keepLines w:val="0"/>
                    <w:widowControl w:val="0"/>
                    <w:suppressLineNumbers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2026.2.3</w:t>
                  </w:r>
                </w:p>
              </w:tc>
              <w:tc>
                <w:tcPr>
                  <w:tcW w:w="2093"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321687">
                  <w:pPr>
                    <w:keepNext w:val="0"/>
                    <w:keepLines w:val="0"/>
                    <w:widowControl w:val="0"/>
                    <w:suppressLineNumbers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2026.2.4</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BBF5D94">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执行</w:t>
                  </w:r>
                </w:p>
                <w:p w14:paraId="24A10F67">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标准值</w:t>
                  </w:r>
                </w:p>
              </w:tc>
              <w:tc>
                <w:tcPr>
                  <w:tcW w:w="68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4082080">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达标</w:t>
                  </w:r>
                </w:p>
                <w:p w14:paraId="2DFAD39A">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情况</w:t>
                  </w:r>
                </w:p>
              </w:tc>
            </w:tr>
            <w:tr w14:paraId="184F5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08" w:hRule="atLeast"/>
                <w:jc w:val="center"/>
              </w:trPr>
              <w:tc>
                <w:tcPr>
                  <w:tcW w:w="549"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276BA13">
                  <w:pPr>
                    <w:keepNext w:val="0"/>
                    <w:keepLines w:val="0"/>
                    <w:suppressLineNumbers w:val="0"/>
                    <w:spacing w:before="0" w:beforeAutospacing="0" w:after="0" w:afterAutospacing="0"/>
                    <w:ind w:left="0" w:right="0"/>
                    <w:jc w:val="center"/>
                    <w:rPr>
                      <w:rFonts w:hint="default" w:ascii="Times New Roman" w:hAnsi="Times New Roman" w:cs="Times New Roman"/>
                      <w:sz w:val="20"/>
                      <w:szCs w:val="20"/>
                    </w:rPr>
                  </w:pPr>
                </w:p>
              </w:tc>
              <w:tc>
                <w:tcPr>
                  <w:tcW w:w="190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CBF533D">
                  <w:pPr>
                    <w:keepNext w:val="0"/>
                    <w:keepLines w:val="0"/>
                    <w:suppressLineNumbers w:val="0"/>
                    <w:spacing w:before="0" w:beforeAutospacing="0" w:after="0" w:afterAutospacing="0"/>
                    <w:ind w:left="0" w:right="0"/>
                    <w:jc w:val="center"/>
                    <w:rPr>
                      <w:rFonts w:hint="default" w:ascii="Times New Roman" w:hAnsi="Times New Roman" w:cs="Times New Roman"/>
                      <w:sz w:val="20"/>
                      <w:szCs w:val="20"/>
                    </w:rPr>
                  </w:pPr>
                </w:p>
              </w:tc>
              <w:tc>
                <w:tcPr>
                  <w:tcW w:w="1040" w:type="dxa"/>
                  <w:tcBorders>
                    <w:top w:val="single" w:color="auto" w:sz="4" w:space="0"/>
                    <w:left w:val="single" w:color="auto" w:sz="4" w:space="0"/>
                    <w:bottom w:val="single" w:color="auto" w:sz="4" w:space="0"/>
                    <w:right w:val="single" w:color="auto" w:sz="4" w:space="0"/>
                  </w:tcBorders>
                  <w:shd w:val="clear" w:color="auto" w:fill="auto"/>
                  <w:vAlign w:val="center"/>
                </w:tcPr>
                <w:p w14:paraId="18985DED">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昼间</w:t>
                  </w:r>
                </w:p>
              </w:tc>
              <w:tc>
                <w:tcPr>
                  <w:tcW w:w="1041" w:type="dxa"/>
                  <w:tcBorders>
                    <w:top w:val="single" w:color="auto" w:sz="4" w:space="0"/>
                    <w:left w:val="single" w:color="auto" w:sz="4" w:space="0"/>
                    <w:bottom w:val="single" w:color="auto" w:sz="4" w:space="0"/>
                    <w:right w:val="single" w:color="auto" w:sz="4" w:space="0"/>
                  </w:tcBorders>
                  <w:shd w:val="clear" w:color="auto" w:fill="auto"/>
                  <w:vAlign w:val="center"/>
                </w:tcPr>
                <w:p w14:paraId="2780324D">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eastAsia="宋体" w:cs="Times New Roman"/>
                      <w:snapToGrid/>
                      <w:kern w:val="0"/>
                      <w:sz w:val="21"/>
                      <w:szCs w:val="21"/>
                      <w:lang w:val="en-US" w:eastAsia="zh-CN" w:bidi="ar"/>
                    </w:rPr>
                  </w:pPr>
                  <w:r>
                    <w:rPr>
                      <w:rFonts w:hint="eastAsia" w:ascii="Times New Roman" w:hAnsi="Times New Roman" w:eastAsia="宋体" w:cs="Times New Roman"/>
                      <w:snapToGrid/>
                      <w:kern w:val="0"/>
                      <w:sz w:val="21"/>
                      <w:szCs w:val="21"/>
                      <w:lang w:val="en-US" w:eastAsia="zh-CN" w:bidi="ar"/>
                    </w:rPr>
                    <w:t>夜间</w:t>
                  </w:r>
                </w:p>
              </w:tc>
              <w:tc>
                <w:tcPr>
                  <w:tcW w:w="1046" w:type="dxa"/>
                  <w:tcBorders>
                    <w:top w:val="single" w:color="auto" w:sz="4" w:space="0"/>
                    <w:left w:val="single" w:color="auto" w:sz="4" w:space="0"/>
                    <w:bottom w:val="single" w:color="auto" w:sz="4" w:space="0"/>
                    <w:right w:val="single" w:color="auto" w:sz="4" w:space="0"/>
                  </w:tcBorders>
                  <w:shd w:val="clear" w:color="auto" w:fill="auto"/>
                  <w:vAlign w:val="center"/>
                </w:tcPr>
                <w:p w14:paraId="0C96AB2D">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昼间</w:t>
                  </w:r>
                </w:p>
              </w:tc>
              <w:tc>
                <w:tcPr>
                  <w:tcW w:w="1047" w:type="dxa"/>
                  <w:tcBorders>
                    <w:top w:val="single" w:color="auto" w:sz="4" w:space="0"/>
                    <w:left w:val="single" w:color="auto" w:sz="4" w:space="0"/>
                    <w:bottom w:val="single" w:color="auto" w:sz="4" w:space="0"/>
                    <w:right w:val="single" w:color="auto" w:sz="4" w:space="0"/>
                  </w:tcBorders>
                  <w:shd w:val="clear" w:color="auto" w:fill="auto"/>
                  <w:vAlign w:val="center"/>
                </w:tcPr>
                <w:p w14:paraId="69296F74">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eastAsia="宋体" w:cs="Times New Roman"/>
                      <w:snapToGrid/>
                      <w:kern w:val="0"/>
                      <w:sz w:val="21"/>
                      <w:szCs w:val="21"/>
                      <w:lang w:val="en-US" w:eastAsia="zh-CN" w:bidi="ar"/>
                    </w:rPr>
                  </w:pPr>
                  <w:r>
                    <w:rPr>
                      <w:rFonts w:hint="eastAsia" w:ascii="Times New Roman" w:hAnsi="Times New Roman" w:eastAsia="宋体" w:cs="Times New Roman"/>
                      <w:snapToGrid/>
                      <w:kern w:val="0"/>
                      <w:sz w:val="21"/>
                      <w:szCs w:val="21"/>
                      <w:lang w:val="en-US" w:eastAsia="zh-CN" w:bidi="ar"/>
                    </w:rPr>
                    <w:t>夜间</w:t>
                  </w: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DA8EBA7">
                  <w:pPr>
                    <w:keepNext w:val="0"/>
                    <w:keepLines w:val="0"/>
                    <w:suppressLineNumbers w:val="0"/>
                    <w:spacing w:before="0" w:beforeAutospacing="0" w:after="0" w:afterAutospacing="0"/>
                    <w:ind w:left="0" w:right="0"/>
                    <w:jc w:val="center"/>
                    <w:rPr>
                      <w:rFonts w:hint="default" w:ascii="Times New Roman" w:hAnsi="Times New Roman" w:cs="Times New Roman"/>
                      <w:sz w:val="20"/>
                      <w:szCs w:val="20"/>
                    </w:rPr>
                  </w:pPr>
                </w:p>
              </w:tc>
              <w:tc>
                <w:tcPr>
                  <w:tcW w:w="68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85B818C">
                  <w:pPr>
                    <w:keepNext w:val="0"/>
                    <w:keepLines w:val="0"/>
                    <w:suppressLineNumbers w:val="0"/>
                    <w:spacing w:before="0" w:beforeAutospacing="0" w:after="0" w:afterAutospacing="0"/>
                    <w:ind w:left="0" w:right="0"/>
                    <w:jc w:val="center"/>
                    <w:rPr>
                      <w:rFonts w:hint="default" w:ascii="Times New Roman" w:hAnsi="Times New Roman" w:cs="Times New Roman"/>
                      <w:sz w:val="20"/>
                      <w:szCs w:val="20"/>
                    </w:rPr>
                  </w:pPr>
                </w:p>
              </w:tc>
            </w:tr>
            <w:tr w14:paraId="2A8EC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58" w:hRule="atLeast"/>
                <w:jc w:val="center"/>
              </w:trPr>
              <w:tc>
                <w:tcPr>
                  <w:tcW w:w="549" w:type="dxa"/>
                  <w:tcBorders>
                    <w:top w:val="single" w:color="auto" w:sz="4" w:space="0"/>
                    <w:left w:val="single" w:color="auto" w:sz="4" w:space="0"/>
                    <w:bottom w:val="single" w:color="auto" w:sz="4" w:space="0"/>
                    <w:right w:val="single" w:color="auto" w:sz="4" w:space="0"/>
                  </w:tcBorders>
                  <w:shd w:val="clear" w:color="auto" w:fill="auto"/>
                  <w:vAlign w:val="center"/>
                </w:tcPr>
                <w:p w14:paraId="57891886">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C1</w:t>
                  </w:r>
                </w:p>
              </w:tc>
              <w:tc>
                <w:tcPr>
                  <w:tcW w:w="1904" w:type="dxa"/>
                  <w:tcBorders>
                    <w:top w:val="single" w:color="auto" w:sz="4" w:space="0"/>
                    <w:left w:val="single" w:color="auto" w:sz="4" w:space="0"/>
                    <w:bottom w:val="single" w:color="auto" w:sz="4" w:space="0"/>
                    <w:right w:val="single" w:color="auto" w:sz="4" w:space="0"/>
                  </w:tcBorders>
                  <w:shd w:val="clear" w:color="auto" w:fill="auto"/>
                  <w:vAlign w:val="center"/>
                </w:tcPr>
                <w:p w14:paraId="012B307C">
                  <w:pPr>
                    <w:pStyle w:val="24"/>
                    <w:bidi w:val="0"/>
                    <w:rPr>
                      <w:rFonts w:hint="default" w:ascii="Times New Roman" w:hAnsi="Times New Roman" w:cs="Times New Roman"/>
                      <w:lang w:val="en-US"/>
                    </w:rPr>
                  </w:pPr>
                  <w:r>
                    <w:rPr>
                      <w:rFonts w:hint="default" w:ascii="Times New Roman" w:hAnsi="Times New Roman" w:cs="Times New Roman"/>
                      <w:lang w:val="en-US" w:eastAsia="zh-CN"/>
                    </w:rPr>
                    <w:t>东厂界N1</w:t>
                  </w:r>
                </w:p>
              </w:tc>
              <w:tc>
                <w:tcPr>
                  <w:tcW w:w="1040" w:type="dxa"/>
                  <w:tcBorders>
                    <w:top w:val="single" w:color="auto" w:sz="4" w:space="0"/>
                    <w:left w:val="single" w:color="auto" w:sz="4" w:space="0"/>
                    <w:bottom w:val="single" w:color="auto" w:sz="4" w:space="0"/>
                    <w:right w:val="single" w:color="auto" w:sz="4" w:space="0"/>
                  </w:tcBorders>
                  <w:shd w:val="clear" w:color="auto" w:fill="auto"/>
                  <w:vAlign w:val="center"/>
                </w:tcPr>
                <w:p w14:paraId="3197D7A1">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60</w:t>
                  </w:r>
                </w:p>
              </w:tc>
              <w:tc>
                <w:tcPr>
                  <w:tcW w:w="1041" w:type="dxa"/>
                  <w:tcBorders>
                    <w:top w:val="single" w:color="auto" w:sz="4" w:space="0"/>
                    <w:left w:val="single" w:color="auto" w:sz="4" w:space="0"/>
                    <w:bottom w:val="single" w:color="auto" w:sz="4" w:space="0"/>
                    <w:right w:val="single" w:color="auto" w:sz="4" w:space="0"/>
                  </w:tcBorders>
                  <w:shd w:val="clear" w:color="auto" w:fill="auto"/>
                  <w:vAlign w:val="center"/>
                </w:tcPr>
                <w:p w14:paraId="33CB12F5">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52</w:t>
                  </w:r>
                </w:p>
              </w:tc>
              <w:tc>
                <w:tcPr>
                  <w:tcW w:w="1046" w:type="dxa"/>
                  <w:tcBorders>
                    <w:top w:val="single" w:color="auto" w:sz="4" w:space="0"/>
                    <w:left w:val="single" w:color="auto" w:sz="4" w:space="0"/>
                    <w:bottom w:val="single" w:color="auto" w:sz="4" w:space="0"/>
                    <w:right w:val="single" w:color="auto" w:sz="4" w:space="0"/>
                  </w:tcBorders>
                  <w:shd w:val="clear" w:color="auto" w:fill="auto"/>
                  <w:vAlign w:val="center"/>
                </w:tcPr>
                <w:p w14:paraId="0C56FDA5">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65</w:t>
                  </w:r>
                </w:p>
              </w:tc>
              <w:tc>
                <w:tcPr>
                  <w:tcW w:w="1047" w:type="dxa"/>
                  <w:tcBorders>
                    <w:top w:val="single" w:color="auto" w:sz="4" w:space="0"/>
                    <w:left w:val="single" w:color="auto" w:sz="4" w:space="0"/>
                    <w:bottom w:val="single" w:color="auto" w:sz="4" w:space="0"/>
                    <w:right w:val="single" w:color="auto" w:sz="4" w:space="0"/>
                  </w:tcBorders>
                  <w:shd w:val="clear" w:color="auto" w:fill="auto"/>
                  <w:vAlign w:val="center"/>
                </w:tcPr>
                <w:p w14:paraId="6EAB88D9">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54</w:t>
                  </w:r>
                </w:p>
              </w:tc>
              <w:tc>
                <w:tcPr>
                  <w:tcW w:w="1084" w:type="dxa"/>
                  <w:tcBorders>
                    <w:top w:val="single" w:color="auto" w:sz="4" w:space="0"/>
                    <w:left w:val="single" w:color="auto" w:sz="4" w:space="0"/>
                    <w:bottom w:val="single" w:color="auto" w:sz="4" w:space="0"/>
                    <w:right w:val="single" w:color="auto" w:sz="4" w:space="0"/>
                  </w:tcBorders>
                  <w:shd w:val="clear" w:color="auto" w:fill="auto"/>
                  <w:vAlign w:val="center"/>
                </w:tcPr>
                <w:p w14:paraId="374FF3B8">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昼间：70</w:t>
                  </w:r>
                </w:p>
              </w:tc>
              <w:tc>
                <w:tcPr>
                  <w:tcW w:w="687" w:type="dxa"/>
                  <w:tcBorders>
                    <w:top w:val="single" w:color="auto" w:sz="4" w:space="0"/>
                    <w:left w:val="single" w:color="auto" w:sz="4" w:space="0"/>
                    <w:bottom w:val="single" w:color="auto" w:sz="4" w:space="0"/>
                    <w:right w:val="single" w:color="auto" w:sz="4" w:space="0"/>
                  </w:tcBorders>
                  <w:shd w:val="clear" w:color="auto" w:fill="auto"/>
                  <w:vAlign w:val="center"/>
                </w:tcPr>
                <w:p w14:paraId="4D70C78C">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达标</w:t>
                  </w:r>
                </w:p>
              </w:tc>
            </w:tr>
            <w:tr w14:paraId="75BD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549" w:type="dxa"/>
                  <w:tcBorders>
                    <w:top w:val="single" w:color="auto" w:sz="4" w:space="0"/>
                    <w:left w:val="single" w:color="auto" w:sz="4" w:space="0"/>
                    <w:bottom w:val="single" w:color="auto" w:sz="4" w:space="0"/>
                    <w:right w:val="single" w:color="auto" w:sz="4" w:space="0"/>
                  </w:tcBorders>
                  <w:shd w:val="clear" w:color="auto" w:fill="auto"/>
                  <w:vAlign w:val="center"/>
                </w:tcPr>
                <w:p w14:paraId="45B2C3A4">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C4</w:t>
                  </w:r>
                </w:p>
              </w:tc>
              <w:tc>
                <w:tcPr>
                  <w:tcW w:w="1904" w:type="dxa"/>
                  <w:tcBorders>
                    <w:top w:val="single" w:color="auto" w:sz="4" w:space="0"/>
                    <w:left w:val="single" w:color="auto" w:sz="4" w:space="0"/>
                    <w:bottom w:val="single" w:color="auto" w:sz="4" w:space="0"/>
                    <w:right w:val="single" w:color="auto" w:sz="4" w:space="0"/>
                  </w:tcBorders>
                  <w:shd w:val="clear" w:color="auto" w:fill="auto"/>
                  <w:vAlign w:val="center"/>
                </w:tcPr>
                <w:p w14:paraId="5579925B">
                  <w:pPr>
                    <w:pStyle w:val="24"/>
                    <w:bidi w:val="0"/>
                    <w:rPr>
                      <w:rFonts w:hint="default" w:ascii="Times New Roman" w:hAnsi="Times New Roman" w:cs="Times New Roman"/>
                      <w:lang w:val="en-US"/>
                    </w:rPr>
                  </w:pPr>
                  <w:r>
                    <w:rPr>
                      <w:rFonts w:hint="default" w:ascii="Times New Roman" w:hAnsi="Times New Roman" w:cs="Times New Roman"/>
                      <w:lang w:val="en-US" w:eastAsia="zh-CN"/>
                    </w:rPr>
                    <w:t>北厂界N4</w:t>
                  </w:r>
                </w:p>
              </w:tc>
              <w:tc>
                <w:tcPr>
                  <w:tcW w:w="1040" w:type="dxa"/>
                  <w:tcBorders>
                    <w:top w:val="single" w:color="auto" w:sz="4" w:space="0"/>
                    <w:left w:val="single" w:color="auto" w:sz="4" w:space="0"/>
                    <w:bottom w:val="single" w:color="auto" w:sz="4" w:space="0"/>
                    <w:right w:val="single" w:color="auto" w:sz="4" w:space="0"/>
                  </w:tcBorders>
                  <w:shd w:val="clear" w:color="auto" w:fill="auto"/>
                  <w:vAlign w:val="center"/>
                </w:tcPr>
                <w:p w14:paraId="17851C42">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50</w:t>
                  </w:r>
                </w:p>
              </w:tc>
              <w:tc>
                <w:tcPr>
                  <w:tcW w:w="1041" w:type="dxa"/>
                  <w:tcBorders>
                    <w:top w:val="single" w:color="auto" w:sz="4" w:space="0"/>
                    <w:left w:val="single" w:color="auto" w:sz="4" w:space="0"/>
                    <w:bottom w:val="single" w:color="auto" w:sz="4" w:space="0"/>
                    <w:right w:val="single" w:color="auto" w:sz="4" w:space="0"/>
                  </w:tcBorders>
                  <w:shd w:val="clear" w:color="auto" w:fill="auto"/>
                  <w:vAlign w:val="center"/>
                </w:tcPr>
                <w:p w14:paraId="3C923431">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49</w:t>
                  </w:r>
                </w:p>
              </w:tc>
              <w:tc>
                <w:tcPr>
                  <w:tcW w:w="1046" w:type="dxa"/>
                  <w:tcBorders>
                    <w:top w:val="single" w:color="auto" w:sz="4" w:space="0"/>
                    <w:left w:val="single" w:color="auto" w:sz="4" w:space="0"/>
                    <w:bottom w:val="single" w:color="auto" w:sz="4" w:space="0"/>
                    <w:right w:val="single" w:color="auto" w:sz="4" w:space="0"/>
                  </w:tcBorders>
                  <w:shd w:val="clear" w:color="auto" w:fill="auto"/>
                  <w:vAlign w:val="center"/>
                </w:tcPr>
                <w:p w14:paraId="7757270B">
                  <w:pPr>
                    <w:keepNext w:val="0"/>
                    <w:keepLines w:val="0"/>
                    <w:widowControl w:val="0"/>
                    <w:suppressLineNumbers w:val="0"/>
                    <w:adjustRightInd/>
                    <w:snapToGrid/>
                    <w:spacing w:before="0" w:beforeAutospacing="0" w:after="0" w:afterAutospacing="0" w:line="440" w:lineRule="exact"/>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sz w:val="21"/>
                      <w:szCs w:val="21"/>
                      <w:lang w:val="en-US" w:eastAsia="zh-CN"/>
                    </w:rPr>
                    <w:t>53</w:t>
                  </w:r>
                </w:p>
              </w:tc>
              <w:tc>
                <w:tcPr>
                  <w:tcW w:w="1047" w:type="dxa"/>
                  <w:tcBorders>
                    <w:top w:val="single" w:color="auto" w:sz="4" w:space="0"/>
                    <w:left w:val="single" w:color="auto" w:sz="4" w:space="0"/>
                    <w:bottom w:val="single" w:color="auto" w:sz="4" w:space="0"/>
                    <w:right w:val="single" w:color="auto" w:sz="4" w:space="0"/>
                  </w:tcBorders>
                  <w:shd w:val="clear" w:color="auto" w:fill="auto"/>
                  <w:vAlign w:val="center"/>
                </w:tcPr>
                <w:p w14:paraId="0D26414F">
                  <w:pPr>
                    <w:keepNext w:val="0"/>
                    <w:keepLines w:val="0"/>
                    <w:widowControl w:val="0"/>
                    <w:suppressLineNumbers w:val="0"/>
                    <w:adjustRightInd/>
                    <w:snapToGrid/>
                    <w:spacing w:before="0" w:beforeAutospacing="0" w:after="0" w:afterAutospacing="0" w:line="440" w:lineRule="exact"/>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sz w:val="21"/>
                      <w:szCs w:val="21"/>
                      <w:lang w:val="en-US" w:eastAsia="zh-CN"/>
                    </w:rPr>
                    <w:t>46</w:t>
                  </w:r>
                </w:p>
              </w:tc>
              <w:tc>
                <w:tcPr>
                  <w:tcW w:w="1084" w:type="dxa"/>
                  <w:vMerge w:val="restart"/>
                  <w:tcBorders>
                    <w:left w:val="single" w:color="auto" w:sz="4" w:space="0"/>
                    <w:right w:val="single" w:color="auto" w:sz="4" w:space="0"/>
                  </w:tcBorders>
                  <w:shd w:val="clear" w:color="auto" w:fill="auto"/>
                  <w:vAlign w:val="center"/>
                </w:tcPr>
                <w:p w14:paraId="084079DE">
                  <w:pPr>
                    <w:keepNext w:val="0"/>
                    <w:keepLines w:val="0"/>
                    <w:suppressLineNumbers w:val="0"/>
                    <w:spacing w:before="0" w:beforeAutospacing="0" w:after="0" w:afterAutospacing="0"/>
                    <w:ind w:left="0" w:right="0"/>
                    <w:jc w:val="center"/>
                    <w:rPr>
                      <w:rFonts w:hint="default" w:ascii="Times New Roman" w:hAnsi="Times New Roman" w:cs="Times New Roman"/>
                      <w:sz w:val="20"/>
                      <w:szCs w:val="20"/>
                    </w:rPr>
                  </w:pPr>
                </w:p>
              </w:tc>
              <w:tc>
                <w:tcPr>
                  <w:tcW w:w="687" w:type="dxa"/>
                  <w:tcBorders>
                    <w:top w:val="single" w:color="auto" w:sz="4" w:space="0"/>
                    <w:left w:val="single" w:color="auto" w:sz="4" w:space="0"/>
                    <w:bottom w:val="single" w:color="auto" w:sz="4" w:space="0"/>
                    <w:right w:val="single" w:color="auto" w:sz="4" w:space="0"/>
                  </w:tcBorders>
                  <w:shd w:val="clear" w:color="auto" w:fill="auto"/>
                  <w:vAlign w:val="center"/>
                </w:tcPr>
                <w:p w14:paraId="22EDDF7F">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达标</w:t>
                  </w:r>
                </w:p>
              </w:tc>
            </w:tr>
            <w:tr w14:paraId="4E412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549" w:type="dxa"/>
                  <w:tcBorders>
                    <w:top w:val="single" w:color="auto" w:sz="4" w:space="0"/>
                    <w:left w:val="single" w:color="auto" w:sz="4" w:space="0"/>
                    <w:bottom w:val="single" w:color="auto" w:sz="4" w:space="0"/>
                    <w:right w:val="single" w:color="auto" w:sz="4" w:space="0"/>
                  </w:tcBorders>
                  <w:shd w:val="clear" w:color="auto" w:fill="auto"/>
                  <w:vAlign w:val="center"/>
                </w:tcPr>
                <w:p w14:paraId="6D42B60C">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C5</w:t>
                  </w:r>
                </w:p>
              </w:tc>
              <w:tc>
                <w:tcPr>
                  <w:tcW w:w="1904" w:type="dxa"/>
                  <w:tcBorders>
                    <w:top w:val="single" w:color="auto" w:sz="4" w:space="0"/>
                    <w:left w:val="single" w:color="auto" w:sz="4" w:space="0"/>
                    <w:bottom w:val="single" w:color="auto" w:sz="4" w:space="0"/>
                    <w:right w:val="single" w:color="auto" w:sz="4" w:space="0"/>
                  </w:tcBorders>
                  <w:shd w:val="clear" w:color="auto" w:fill="auto"/>
                  <w:vAlign w:val="center"/>
                </w:tcPr>
                <w:p w14:paraId="12BC77C4">
                  <w:pPr>
                    <w:pStyle w:val="24"/>
                    <w:bidi w:val="0"/>
                    <w:rPr>
                      <w:rFonts w:hint="default" w:ascii="Times New Roman" w:hAnsi="Times New Roman" w:cs="Times New Roman"/>
                      <w:lang w:val="en-US"/>
                    </w:rPr>
                  </w:pPr>
                  <w:r>
                    <w:rPr>
                      <w:rFonts w:hint="default" w:ascii="Times New Roman" w:hAnsi="Times New Roman" w:cs="Times New Roman"/>
                      <w:lang w:val="en-US" w:eastAsia="zh-CN"/>
                    </w:rPr>
                    <w:t>尚城花园南苑N5</w:t>
                  </w:r>
                </w:p>
              </w:tc>
              <w:tc>
                <w:tcPr>
                  <w:tcW w:w="1040" w:type="dxa"/>
                  <w:tcBorders>
                    <w:top w:val="single" w:color="auto" w:sz="4" w:space="0"/>
                    <w:left w:val="single" w:color="auto" w:sz="4" w:space="0"/>
                    <w:bottom w:val="single" w:color="auto" w:sz="4" w:space="0"/>
                    <w:right w:val="single" w:color="auto" w:sz="4" w:space="0"/>
                  </w:tcBorders>
                  <w:shd w:val="clear" w:color="auto" w:fill="auto"/>
                  <w:vAlign w:val="center"/>
                </w:tcPr>
                <w:p w14:paraId="72A229E5">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49</w:t>
                  </w:r>
                </w:p>
              </w:tc>
              <w:tc>
                <w:tcPr>
                  <w:tcW w:w="1041" w:type="dxa"/>
                  <w:tcBorders>
                    <w:top w:val="single" w:color="auto" w:sz="4" w:space="0"/>
                    <w:left w:val="single" w:color="auto" w:sz="4" w:space="0"/>
                    <w:bottom w:val="single" w:color="auto" w:sz="4" w:space="0"/>
                    <w:right w:val="single" w:color="auto" w:sz="4" w:space="0"/>
                  </w:tcBorders>
                  <w:shd w:val="clear" w:color="auto" w:fill="auto"/>
                  <w:vAlign w:val="center"/>
                </w:tcPr>
                <w:p w14:paraId="2B374210">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46</w:t>
                  </w:r>
                </w:p>
              </w:tc>
              <w:tc>
                <w:tcPr>
                  <w:tcW w:w="1046" w:type="dxa"/>
                  <w:tcBorders>
                    <w:top w:val="single" w:color="auto" w:sz="4" w:space="0"/>
                    <w:left w:val="single" w:color="auto" w:sz="4" w:space="0"/>
                    <w:bottom w:val="single" w:color="auto" w:sz="4" w:space="0"/>
                    <w:right w:val="single" w:color="auto" w:sz="4" w:space="0"/>
                  </w:tcBorders>
                  <w:shd w:val="clear" w:color="auto" w:fill="auto"/>
                  <w:vAlign w:val="center"/>
                </w:tcPr>
                <w:p w14:paraId="6B31B9D9">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52</w:t>
                  </w:r>
                </w:p>
              </w:tc>
              <w:tc>
                <w:tcPr>
                  <w:tcW w:w="1047" w:type="dxa"/>
                  <w:tcBorders>
                    <w:top w:val="single" w:color="auto" w:sz="4" w:space="0"/>
                    <w:left w:val="single" w:color="auto" w:sz="4" w:space="0"/>
                    <w:bottom w:val="single" w:color="auto" w:sz="4" w:space="0"/>
                    <w:right w:val="single" w:color="auto" w:sz="4" w:space="0"/>
                  </w:tcBorders>
                  <w:shd w:val="clear" w:color="auto" w:fill="auto"/>
                  <w:vAlign w:val="center"/>
                </w:tcPr>
                <w:p w14:paraId="7B02598A">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47</w:t>
                  </w:r>
                </w:p>
              </w:tc>
              <w:tc>
                <w:tcPr>
                  <w:tcW w:w="1084" w:type="dxa"/>
                  <w:vMerge w:val="continue"/>
                  <w:tcBorders>
                    <w:left w:val="single" w:color="auto" w:sz="4" w:space="0"/>
                    <w:bottom w:val="single" w:color="auto" w:sz="4" w:space="0"/>
                    <w:right w:val="single" w:color="auto" w:sz="4" w:space="0"/>
                  </w:tcBorders>
                  <w:shd w:val="clear" w:color="auto" w:fill="auto"/>
                  <w:vAlign w:val="center"/>
                </w:tcPr>
                <w:p w14:paraId="6ADF081B">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p>
              </w:tc>
              <w:tc>
                <w:tcPr>
                  <w:tcW w:w="687" w:type="dxa"/>
                  <w:tcBorders>
                    <w:top w:val="single" w:color="auto" w:sz="4" w:space="0"/>
                    <w:left w:val="single" w:color="auto" w:sz="4" w:space="0"/>
                    <w:bottom w:val="single" w:color="auto" w:sz="4" w:space="0"/>
                    <w:right w:val="single" w:color="auto" w:sz="4" w:space="0"/>
                  </w:tcBorders>
                  <w:shd w:val="clear" w:color="auto" w:fill="auto"/>
                  <w:vAlign w:val="center"/>
                </w:tcPr>
                <w:p w14:paraId="2C54CA1B">
                  <w:pPr>
                    <w:keepNext w:val="0"/>
                    <w:keepLines w:val="0"/>
                    <w:widowControl w:val="0"/>
                    <w:suppressLineNumbers w:val="0"/>
                    <w:adjustRightInd/>
                    <w:snapToGrid/>
                    <w:spacing w:before="0" w:beforeAutospacing="0" w:after="0" w:afterAutospacing="0" w:line="440" w:lineRule="exact"/>
                    <w:ind w:left="0" w:right="0" w:firstLine="0" w:firstLineChars="0"/>
                    <w:jc w:val="center"/>
                    <w:rPr>
                      <w:rFonts w:hint="default" w:ascii="Times New Roman" w:hAnsi="Times New Roman" w:cs="Times New Roman"/>
                      <w:sz w:val="21"/>
                      <w:szCs w:val="21"/>
                      <w:lang w:val="en-US"/>
                    </w:rPr>
                  </w:pPr>
                  <w:r>
                    <w:rPr>
                      <w:rFonts w:hint="default" w:ascii="Times New Roman" w:hAnsi="Times New Roman" w:eastAsia="宋体" w:cs="Times New Roman"/>
                      <w:snapToGrid/>
                      <w:kern w:val="0"/>
                      <w:sz w:val="21"/>
                      <w:szCs w:val="21"/>
                      <w:lang w:val="en-US" w:eastAsia="zh-CN" w:bidi="ar"/>
                    </w:rPr>
                    <w:t>达标</w:t>
                  </w:r>
                </w:p>
              </w:tc>
            </w:tr>
          </w:tbl>
          <w:p w14:paraId="22E08B8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right="0"/>
              <w:jc w:val="left"/>
              <w:textAlignment w:val="auto"/>
              <w:rPr>
                <w:rFonts w:hint="default" w:ascii="Times New Roman" w:hAnsi="Times New Roman" w:eastAsia="宋体" w:cs="Times New Roman"/>
                <w:b/>
                <w:sz w:val="18"/>
                <w:szCs w:val="18"/>
                <w:lang w:val="en-US" w:eastAsia="zh-CN"/>
              </w:rPr>
            </w:pPr>
            <w:r>
              <w:rPr>
                <w:rFonts w:hint="eastAsia" w:ascii="Times New Roman" w:hAnsi="Times New Roman" w:eastAsia="宋体" w:cs="Times New Roman"/>
                <w:b/>
                <w:sz w:val="18"/>
                <w:szCs w:val="18"/>
                <w:lang w:val="en-US" w:eastAsia="zh-CN"/>
              </w:rPr>
              <w:t>注：南厂界邻厂，西厂界有河流，不满足监测条件。</w:t>
            </w:r>
          </w:p>
          <w:p w14:paraId="562D9E4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监测结果表明：厂界噪声监测点位2天，</w:t>
            </w:r>
            <w:r>
              <w:rPr>
                <w:rFonts w:hint="default" w:ascii="Times New Roman" w:hAnsi="Times New Roman" w:eastAsia="宋体" w:cs="Times New Roman"/>
                <w:sz w:val="24"/>
                <w:szCs w:val="24"/>
                <w:lang w:val="en-US" w:eastAsia="zh-CN"/>
              </w:rPr>
              <w:t>北厂界</w:t>
            </w:r>
            <w:r>
              <w:rPr>
                <w:rFonts w:hint="default" w:ascii="Times New Roman" w:hAnsi="Times New Roman" w:eastAsia="宋体" w:cs="Times New Roman"/>
                <w:sz w:val="24"/>
                <w:szCs w:val="24"/>
              </w:rPr>
              <w:t>昼间噪声值为</w:t>
            </w:r>
            <w:r>
              <w:rPr>
                <w:rFonts w:hint="eastAsia" w:ascii="Times New Roman" w:hAnsi="Times New Roman" w:eastAsia="宋体" w:cs="Times New Roman"/>
                <w:sz w:val="24"/>
                <w:szCs w:val="24"/>
                <w:lang w:val="en-US" w:eastAsia="zh-CN"/>
              </w:rPr>
              <w:t>50-53</w:t>
            </w:r>
            <w:r>
              <w:rPr>
                <w:rFonts w:hint="default" w:ascii="Times New Roman" w:hAnsi="Times New Roman" w:eastAsia="宋体" w:cs="Times New Roman"/>
                <w:sz w:val="24"/>
                <w:szCs w:val="24"/>
              </w:rPr>
              <w:t>dB（A）之间</w:t>
            </w:r>
            <w:r>
              <w:rPr>
                <w:rFonts w:hint="default" w:ascii="Times New Roman" w:hAnsi="Times New Roman" w:eastAsia="宋体" w:cs="Times New Roman"/>
                <w:sz w:val="24"/>
                <w:szCs w:val="24"/>
                <w:lang w:val="en-US" w:eastAsia="zh-CN" w:bidi="ar"/>
              </w:rPr>
              <w:t>，小于其标准限值60dB（A），东厂界</w:t>
            </w:r>
            <w:r>
              <w:rPr>
                <w:rFonts w:hint="default" w:ascii="Times New Roman" w:hAnsi="Times New Roman" w:eastAsia="宋体" w:cs="Times New Roman"/>
                <w:sz w:val="24"/>
                <w:szCs w:val="24"/>
              </w:rPr>
              <w:t>昼间噪声值为</w:t>
            </w:r>
            <w:r>
              <w:rPr>
                <w:rFonts w:hint="eastAsia" w:ascii="Times New Roman" w:hAnsi="Times New Roman" w:eastAsia="宋体" w:cs="Times New Roman"/>
                <w:sz w:val="24"/>
                <w:szCs w:val="24"/>
                <w:lang w:val="en-US" w:eastAsia="zh-CN"/>
              </w:rPr>
              <w:t>60-65</w:t>
            </w:r>
            <w:r>
              <w:rPr>
                <w:rFonts w:hint="default" w:ascii="Times New Roman" w:hAnsi="Times New Roman" w:eastAsia="宋体" w:cs="Times New Roman"/>
                <w:sz w:val="24"/>
                <w:szCs w:val="24"/>
              </w:rPr>
              <w:t>dB（A）之间，</w:t>
            </w:r>
            <w:r>
              <w:rPr>
                <w:rFonts w:hint="default" w:ascii="Times New Roman" w:hAnsi="Times New Roman" w:eastAsia="宋体" w:cs="Times New Roman"/>
                <w:sz w:val="24"/>
                <w:szCs w:val="24"/>
                <w:lang w:val="en-US" w:eastAsia="zh-CN" w:bidi="ar"/>
              </w:rPr>
              <w:t>小于其标准限值70dB（A）；</w:t>
            </w:r>
            <w:r>
              <w:rPr>
                <w:rFonts w:hint="default" w:ascii="Times New Roman" w:hAnsi="Times New Roman" w:cs="Times New Roman"/>
              </w:rPr>
              <w:t>厂界东侧</w:t>
            </w:r>
            <w:r>
              <w:rPr>
                <w:rFonts w:hint="default" w:ascii="Times New Roman" w:hAnsi="Times New Roman" w:eastAsia="宋体" w:cs="Times New Roman"/>
                <w:sz w:val="24"/>
                <w:szCs w:val="24"/>
              </w:rPr>
              <w:t>噪声符合《工业企业厂界环境噪声排放标准》（GB12348-2008）</w:t>
            </w:r>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类标准要求</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其余厂界</w:t>
            </w:r>
            <w:r>
              <w:rPr>
                <w:rFonts w:hint="default" w:ascii="Times New Roman" w:hAnsi="Times New Roman" w:eastAsia="宋体" w:cs="Times New Roman"/>
                <w:sz w:val="24"/>
                <w:szCs w:val="24"/>
              </w:rPr>
              <w:t>符合</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类标准要求。敏感点噪声测定值在</w:t>
            </w:r>
            <w:r>
              <w:rPr>
                <w:rFonts w:hint="eastAsia" w:ascii="Times New Roman" w:hAnsi="Times New Roman" w:eastAsia="宋体" w:cs="Times New Roman"/>
                <w:sz w:val="24"/>
                <w:szCs w:val="24"/>
                <w:lang w:val="en-US" w:eastAsia="zh-CN"/>
              </w:rPr>
              <w:t>49-52</w:t>
            </w:r>
            <w:r>
              <w:rPr>
                <w:rFonts w:hint="default" w:ascii="Times New Roman" w:hAnsi="Times New Roman" w:eastAsia="宋体" w:cs="Times New Roman"/>
                <w:sz w:val="24"/>
                <w:szCs w:val="24"/>
              </w:rPr>
              <w:t>dB（A）之间，小于其标准限值60dB（A）。</w:t>
            </w:r>
          </w:p>
          <w:p w14:paraId="21EC217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lang w:val="en-US" w:eastAsia="zh-CN" w:bidi="ar"/>
              </w:rPr>
              <w:t>东厂界</w:t>
            </w:r>
            <w:r>
              <w:rPr>
                <w:rFonts w:hint="default" w:ascii="Times New Roman" w:hAnsi="Times New Roman" w:eastAsia="宋体" w:cs="Times New Roman"/>
                <w:sz w:val="24"/>
                <w:szCs w:val="24"/>
              </w:rPr>
              <w:t>厂界昼间噪声监测结果均未超过《工业企业厂界环境噪声排放标准》（GB12348-2008）中</w:t>
            </w:r>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类区标准限值</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其余厂界噪声</w:t>
            </w:r>
            <w:r>
              <w:rPr>
                <w:rFonts w:hint="default" w:ascii="Times New Roman" w:hAnsi="Times New Roman" w:eastAsia="宋体" w:cs="Times New Roman"/>
                <w:sz w:val="24"/>
                <w:szCs w:val="24"/>
              </w:rPr>
              <w:t>符合</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类标准要求，为达标排放。周边敏感点噪声监测结果满足《声环境质量标准》（GB3096-2008）中的2类标准。</w:t>
            </w:r>
          </w:p>
          <w:p w14:paraId="69F07E15">
            <w:pPr>
              <w:pStyle w:val="3"/>
              <w:suppressLineNumbers w:val="0"/>
              <w:bidi w:val="0"/>
              <w:spacing w:before="0" w:beforeAutospacing="0" w:after="0" w:afterAutospacing="0"/>
              <w:ind w:left="0" w:right="0"/>
              <w:rPr>
                <w:rFonts w:hint="default" w:ascii="Times New Roman" w:hAnsi="Times New Roman" w:eastAsia="仿宋_GB2312" w:cs="Times New Roman"/>
                <w:color w:val="000000"/>
                <w:kern w:val="0"/>
                <w:sz w:val="28"/>
                <w:szCs w:val="28"/>
                <w:lang w:val="en-US" w:eastAsia="zh-CN"/>
              </w:rPr>
            </w:pPr>
            <w:r>
              <w:rPr>
                <w:rFonts w:hint="default" w:ascii="Times New Roman" w:hAnsi="Times New Roman" w:eastAsia="仿宋_GB2312" w:cs="Times New Roman"/>
                <w:color w:val="000000"/>
                <w:kern w:val="0"/>
                <w:sz w:val="28"/>
                <w:szCs w:val="28"/>
                <w:lang w:val="en-US" w:eastAsia="zh-CN"/>
              </w:rPr>
              <w:t>7.3</w:t>
            </w:r>
            <w:r>
              <w:rPr>
                <w:rFonts w:hint="default" w:ascii="Times New Roman" w:hAnsi="Times New Roman" w:eastAsia="宋体" w:cs="Times New Roman"/>
                <w:sz w:val="28"/>
                <w:szCs w:val="28"/>
                <w:lang w:val="en-US" w:eastAsia="zh-CN" w:bidi="ar"/>
              </w:rPr>
              <w:t>污染物排放总量核算</w:t>
            </w:r>
          </w:p>
          <w:p w14:paraId="1B0D8B2E">
            <w:pPr>
              <w:pStyle w:val="53"/>
              <w:bidi w:val="0"/>
              <w:spacing w:before="0"/>
              <w:rPr>
                <w:rFonts w:hint="default" w:ascii="Times New Roman" w:hAnsi="Times New Roman" w:cs="Times New Roman"/>
                <w:color w:val="000000"/>
                <w:kern w:val="0"/>
                <w:sz w:val="24"/>
                <w:szCs w:val="24"/>
                <w:lang w:eastAsia="zh-CN"/>
              </w:rPr>
            </w:pPr>
            <w:r>
              <w:rPr>
                <w:rFonts w:hint="default" w:ascii="Times New Roman" w:hAnsi="Times New Roman" w:eastAsia="宋体" w:cs="Times New Roman"/>
                <w:color w:val="000000"/>
                <w:kern w:val="0"/>
                <w:sz w:val="24"/>
                <w:szCs w:val="24"/>
                <w:lang w:eastAsia="zh-CN"/>
              </w:rPr>
              <w:t>安庆市大观区生态环境分局《关于安庆帝伯格茨活塞环有限公司端面密封件生产线提升与智能化改造项目环境影响报告表审查意见的函》（观环建函〔2022〕3号）</w:t>
            </w:r>
            <w:r>
              <w:rPr>
                <w:rFonts w:hint="default" w:ascii="Times New Roman" w:hAnsi="Times New Roman" w:cs="Times New Roman"/>
                <w:color w:val="000000"/>
                <w:kern w:val="0"/>
                <w:sz w:val="24"/>
                <w:szCs w:val="24"/>
                <w:lang w:eastAsia="zh-CN"/>
              </w:rPr>
              <w:t>。</w:t>
            </w:r>
            <w:r>
              <w:rPr>
                <w:rFonts w:hint="default" w:ascii="Times New Roman" w:hAnsi="Times New Roman" w:cs="Times New Roman"/>
                <w:color w:val="000000"/>
                <w:kern w:val="0"/>
                <w:sz w:val="24"/>
                <w:szCs w:val="24"/>
                <w:lang w:val="en-US" w:eastAsia="zh-CN"/>
              </w:rPr>
              <w:t>则</w:t>
            </w:r>
            <w:r>
              <w:rPr>
                <w:rFonts w:hint="default" w:ascii="Times New Roman" w:hAnsi="Times New Roman" w:cs="Times New Roman"/>
                <w:color w:val="000000"/>
                <w:kern w:val="0"/>
                <w:sz w:val="24"/>
                <w:szCs w:val="24"/>
                <w:lang w:eastAsia="zh-CN"/>
              </w:rPr>
              <w:t xml:space="preserve">本项目水污染总量控制为：COD </w:t>
            </w:r>
            <w:r>
              <w:rPr>
                <w:rFonts w:hint="default" w:ascii="Times New Roman" w:hAnsi="Times New Roman" w:cs="Times New Roman"/>
                <w:color w:val="000000"/>
                <w:kern w:val="0"/>
                <w:sz w:val="24"/>
                <w:szCs w:val="24"/>
                <w:lang w:val="en-US" w:eastAsia="zh-CN"/>
              </w:rPr>
              <w:t>0.0265</w:t>
            </w:r>
            <w:r>
              <w:rPr>
                <w:rFonts w:hint="default" w:ascii="Times New Roman" w:hAnsi="Times New Roman" w:cs="Times New Roman"/>
                <w:color w:val="000000"/>
                <w:kern w:val="0"/>
                <w:sz w:val="24"/>
                <w:szCs w:val="24"/>
                <w:lang w:eastAsia="zh-CN"/>
              </w:rPr>
              <w:t>吨/年，氨氮0.0</w:t>
            </w:r>
            <w:r>
              <w:rPr>
                <w:rFonts w:hint="default" w:ascii="Times New Roman" w:hAnsi="Times New Roman" w:cs="Times New Roman"/>
                <w:color w:val="000000"/>
                <w:kern w:val="0"/>
                <w:sz w:val="24"/>
                <w:szCs w:val="24"/>
                <w:lang w:val="en-US" w:eastAsia="zh-CN"/>
              </w:rPr>
              <w:t>027</w:t>
            </w:r>
            <w:r>
              <w:rPr>
                <w:rFonts w:hint="default" w:ascii="Times New Roman" w:hAnsi="Times New Roman" w:cs="Times New Roman"/>
                <w:color w:val="000000"/>
                <w:kern w:val="0"/>
                <w:sz w:val="24"/>
                <w:szCs w:val="24"/>
                <w:lang w:eastAsia="zh-CN"/>
              </w:rPr>
              <w:t>吨/年。</w:t>
            </w:r>
          </w:p>
          <w:p w14:paraId="6742EFA9">
            <w:pPr>
              <w:pStyle w:val="53"/>
              <w:bidi w:val="0"/>
              <w:spacing w:before="0"/>
              <w:rPr>
                <w:rFonts w:hint="default" w:ascii="Times New Roman" w:hAnsi="Times New Roman" w:cs="Times New Roman"/>
                <w:bCs/>
                <w:snapToGrid w:val="0"/>
                <w:sz w:val="24"/>
                <w:szCs w:val="24"/>
                <w:lang w:val="en-US" w:eastAsia="zh-CN" w:bidi="ar"/>
              </w:rPr>
            </w:pPr>
            <w:r>
              <w:rPr>
                <w:rFonts w:hint="default" w:ascii="Times New Roman" w:hAnsi="Times New Roman" w:cs="Times New Roman"/>
                <w:color w:val="000000"/>
                <w:kern w:val="0"/>
                <w:sz w:val="24"/>
                <w:szCs w:val="24"/>
                <w:lang w:eastAsia="zh-CN"/>
              </w:rPr>
              <w:t>（</w:t>
            </w:r>
            <w:r>
              <w:rPr>
                <w:rFonts w:hint="default" w:ascii="Times New Roman" w:hAnsi="Times New Roman" w:cs="Times New Roman"/>
                <w:color w:val="000000"/>
                <w:kern w:val="0"/>
                <w:sz w:val="24"/>
                <w:szCs w:val="24"/>
                <w:lang w:val="en-US" w:eastAsia="zh-CN"/>
              </w:rPr>
              <w:t>1</w:t>
            </w:r>
            <w:r>
              <w:rPr>
                <w:rFonts w:hint="default" w:ascii="Times New Roman" w:hAnsi="Times New Roman" w:cs="Times New Roman"/>
                <w:color w:val="000000"/>
                <w:kern w:val="0"/>
                <w:sz w:val="24"/>
                <w:szCs w:val="24"/>
                <w:lang w:eastAsia="zh-CN"/>
              </w:rPr>
              <w:t>）废水中</w:t>
            </w:r>
            <w:r>
              <w:rPr>
                <w:rFonts w:hint="default" w:ascii="Times New Roman" w:hAnsi="Times New Roman" w:eastAsia="宋体" w:cs="Times New Roman"/>
                <w:bCs/>
                <w:snapToGrid w:val="0"/>
                <w:sz w:val="24"/>
                <w:szCs w:val="24"/>
                <w:lang w:val="en-US" w:eastAsia="zh-CN" w:bidi="ar"/>
              </w:rPr>
              <w:t>化学</w:t>
            </w:r>
            <w:r>
              <w:rPr>
                <w:rFonts w:hint="default" w:ascii="Times New Roman" w:hAnsi="Times New Roman" w:eastAsia="宋体" w:cs="Times New Roman"/>
                <w:sz w:val="24"/>
                <w:szCs w:val="24"/>
                <w:lang w:val="en-US" w:eastAsia="zh-CN" w:bidi="ar"/>
              </w:rPr>
              <w:t>需氧量</w:t>
            </w:r>
            <w:r>
              <w:rPr>
                <w:rFonts w:hint="default" w:ascii="Times New Roman" w:hAnsi="Times New Roman" w:eastAsia="宋体" w:cs="Times New Roman"/>
                <w:bCs/>
                <w:snapToGrid w:val="0"/>
                <w:sz w:val="24"/>
                <w:szCs w:val="24"/>
                <w:lang w:val="en-US" w:eastAsia="zh-CN" w:bidi="ar"/>
              </w:rPr>
              <w:t>、</w:t>
            </w:r>
            <w:r>
              <w:rPr>
                <w:rFonts w:hint="default" w:ascii="Times New Roman" w:hAnsi="Times New Roman" w:cs="Times New Roman"/>
                <w:bCs/>
                <w:snapToGrid w:val="0"/>
                <w:sz w:val="24"/>
                <w:szCs w:val="24"/>
                <w:lang w:val="en-US" w:eastAsia="zh-CN" w:bidi="ar"/>
              </w:rPr>
              <w:t>氨氮的核算</w:t>
            </w:r>
          </w:p>
          <w:p w14:paraId="53DEFB47">
            <w:pPr>
              <w:pStyle w:val="53"/>
              <w:bidi w:val="0"/>
              <w:spacing w:before="0"/>
              <w:rPr>
                <w:rFonts w:hint="default" w:ascii="Times New Roman" w:hAnsi="Times New Roman" w:cs="Times New Roman"/>
                <w:bCs/>
                <w:snapToGrid w:val="0"/>
                <w:sz w:val="24"/>
                <w:szCs w:val="24"/>
                <w:lang w:val="en-US" w:eastAsia="zh-CN" w:bidi="ar"/>
              </w:rPr>
            </w:pPr>
            <w:r>
              <w:rPr>
                <w:rFonts w:hint="default" w:ascii="Times New Roman" w:hAnsi="Times New Roman" w:cs="Times New Roman"/>
                <w:bCs/>
                <w:snapToGrid w:val="0"/>
                <w:sz w:val="24"/>
                <w:szCs w:val="24"/>
                <w:lang w:val="en-US" w:eastAsia="zh-CN" w:bidi="ar"/>
              </w:rPr>
              <w:t>根据现场调查，目前项目及其配套环保设施已全部建设完成。本次验收项目年生产300天，外排废水总量约为499.8m</w:t>
            </w:r>
            <w:r>
              <w:rPr>
                <w:rFonts w:hint="default" w:ascii="Times New Roman" w:hAnsi="Times New Roman" w:cs="Times New Roman"/>
                <w:bCs/>
                <w:snapToGrid w:val="0"/>
                <w:sz w:val="24"/>
                <w:szCs w:val="24"/>
                <w:vertAlign w:val="superscript"/>
                <w:lang w:val="en-US" w:eastAsia="zh-CN" w:bidi="ar"/>
              </w:rPr>
              <w:t>3</w:t>
            </w:r>
            <w:r>
              <w:rPr>
                <w:rFonts w:hint="default" w:ascii="Times New Roman" w:hAnsi="Times New Roman" w:cs="Times New Roman"/>
                <w:bCs/>
                <w:snapToGrid w:val="0"/>
                <w:sz w:val="24"/>
                <w:szCs w:val="24"/>
                <w:lang w:val="en-US" w:eastAsia="zh-CN" w:bidi="ar"/>
              </w:rPr>
              <w:t>/a。则验收监测期间，本项目废水中污染物总量核算情况如下：</w:t>
            </w:r>
          </w:p>
          <w:p w14:paraId="74E5A4A2">
            <w:pPr>
              <w:pStyle w:val="53"/>
              <w:bidi w:val="0"/>
              <w:spacing w:before="0"/>
              <w:rPr>
                <w:rFonts w:hint="default" w:ascii="Times New Roman" w:hAnsi="Times New Roman" w:cs="Times New Roman"/>
                <w:bCs/>
                <w:snapToGrid w:val="0"/>
                <w:sz w:val="24"/>
                <w:szCs w:val="24"/>
                <w:lang w:val="en-US" w:eastAsia="zh-CN" w:bidi="ar"/>
              </w:rPr>
            </w:pPr>
            <w:r>
              <w:rPr>
                <w:rFonts w:hint="default" w:ascii="Times New Roman" w:hAnsi="Times New Roman" w:cs="Times New Roman"/>
                <w:bCs/>
                <w:snapToGrid w:val="0"/>
                <w:sz w:val="24"/>
                <w:szCs w:val="24"/>
                <w:lang w:val="en-US" w:eastAsia="zh-CN" w:bidi="ar"/>
              </w:rPr>
              <w:t>①排入外环境的废水中COD排放总量为：50×499.8×10</w:t>
            </w:r>
            <w:r>
              <w:rPr>
                <w:rFonts w:hint="default" w:ascii="Times New Roman" w:hAnsi="Times New Roman" w:cs="Times New Roman"/>
                <w:bCs/>
                <w:snapToGrid w:val="0"/>
                <w:sz w:val="24"/>
                <w:szCs w:val="24"/>
                <w:vertAlign w:val="superscript"/>
                <w:lang w:val="en-US" w:eastAsia="zh-CN" w:bidi="ar"/>
              </w:rPr>
              <w:t>-6</w:t>
            </w:r>
            <w:r>
              <w:rPr>
                <w:rFonts w:hint="default" w:ascii="Times New Roman" w:hAnsi="Times New Roman" w:cs="Times New Roman"/>
                <w:bCs/>
                <w:snapToGrid w:val="0"/>
                <w:sz w:val="24"/>
                <w:szCs w:val="24"/>
                <w:lang w:val="en-US" w:eastAsia="zh-CN" w:bidi="ar"/>
              </w:rPr>
              <w:t>=0.025t/a&lt;0.0265t/a</w:t>
            </w:r>
          </w:p>
          <w:p w14:paraId="3F7A5A37">
            <w:pPr>
              <w:pStyle w:val="53"/>
              <w:bidi w:val="0"/>
              <w:spacing w:before="0"/>
              <w:rPr>
                <w:rFonts w:hint="default" w:ascii="Times New Roman" w:hAnsi="Times New Roman" w:cs="Times New Roman"/>
                <w:bCs/>
                <w:snapToGrid w:val="0"/>
                <w:sz w:val="24"/>
                <w:szCs w:val="24"/>
                <w:lang w:val="en-US" w:eastAsia="zh-CN" w:bidi="ar"/>
              </w:rPr>
            </w:pPr>
            <w:r>
              <w:rPr>
                <w:rFonts w:hint="default" w:ascii="Times New Roman" w:hAnsi="Times New Roman" w:cs="Times New Roman"/>
                <w:bCs/>
                <w:snapToGrid w:val="0"/>
                <w:sz w:val="24"/>
                <w:szCs w:val="24"/>
                <w:lang w:val="en-US" w:eastAsia="zh-CN" w:bidi="ar"/>
              </w:rPr>
              <w:t>②排入外环境的废水中氨氮排放总量为：5×499.8×10</w:t>
            </w:r>
            <w:r>
              <w:rPr>
                <w:rFonts w:hint="default" w:ascii="Times New Roman" w:hAnsi="Times New Roman" w:cs="Times New Roman"/>
                <w:bCs/>
                <w:snapToGrid w:val="0"/>
                <w:sz w:val="24"/>
                <w:szCs w:val="24"/>
                <w:vertAlign w:val="superscript"/>
                <w:lang w:val="en-US" w:eastAsia="zh-CN" w:bidi="ar"/>
              </w:rPr>
              <w:t>-6</w:t>
            </w:r>
            <w:r>
              <w:rPr>
                <w:rFonts w:hint="default" w:ascii="Times New Roman" w:hAnsi="Times New Roman" w:cs="Times New Roman"/>
                <w:bCs/>
                <w:snapToGrid w:val="0"/>
                <w:sz w:val="24"/>
                <w:szCs w:val="24"/>
                <w:lang w:val="en-US" w:eastAsia="zh-CN" w:bidi="ar"/>
              </w:rPr>
              <w:t>=0.0025t/a&lt;0.0027t/a。</w:t>
            </w:r>
          </w:p>
          <w:p w14:paraId="3CE36216">
            <w:pPr>
              <w:pStyle w:val="53"/>
              <w:bidi w:val="0"/>
              <w:spacing w:before="0"/>
              <w:rPr>
                <w:rFonts w:hint="default" w:ascii="Times New Roman" w:hAnsi="Times New Roman" w:cs="Times New Roman"/>
                <w:lang w:val="en-US"/>
              </w:rPr>
            </w:pPr>
            <w:r>
              <w:rPr>
                <w:rFonts w:hint="default" w:ascii="Times New Roman" w:hAnsi="Times New Roman" w:cs="Times New Roman"/>
                <w:lang w:val="en-US" w:eastAsia="zh-CN"/>
              </w:rPr>
              <w:t>因此，项目验收期间COD、氨氮排放总量满足总量控制指标。</w:t>
            </w:r>
          </w:p>
          <w:p w14:paraId="6C622EC2">
            <w:pPr>
              <w:pStyle w:val="53"/>
              <w:bidi w:val="0"/>
              <w:spacing w:before="0"/>
              <w:rPr>
                <w:rFonts w:hint="default" w:ascii="Times New Roman" w:hAnsi="Times New Roman" w:cs="Times New Roman"/>
                <w:lang w:val="en-US" w:eastAsia="zh-CN"/>
              </w:rPr>
            </w:pPr>
          </w:p>
          <w:p w14:paraId="68A09DDE">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p w14:paraId="7E008A8C">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p w14:paraId="50D0CD94">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p w14:paraId="317DCB32">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p w14:paraId="2E6EE708">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p w14:paraId="21977628">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p w14:paraId="2AC1FC5E">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p w14:paraId="7B8B74CA">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p w14:paraId="4E270794">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p w14:paraId="532C70F7">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p w14:paraId="1BDE345A">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p w14:paraId="711F1533">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p w14:paraId="401201EB">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imes New Roman" w:hAnsi="Times New Roman" w:eastAsia="仿宋_GB2312" w:cs="Times New Roman"/>
                <w:color w:val="000000"/>
                <w:kern w:val="0"/>
                <w:sz w:val="24"/>
                <w:szCs w:val="24"/>
              </w:rPr>
            </w:pPr>
          </w:p>
        </w:tc>
      </w:tr>
    </w:tbl>
    <w:p w14:paraId="3182C356">
      <w:pPr>
        <w:widowControl/>
        <w:adjustRightInd w:val="0"/>
        <w:snapToGrid w:val="0"/>
        <w:spacing w:line="360" w:lineRule="auto"/>
        <w:jc w:val="left"/>
        <w:rPr>
          <w:rFonts w:ascii="Tahoma" w:hAnsi="Tahoma" w:eastAsia="仿宋_GB2312" w:cs="Times New Roman"/>
          <w:b/>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cols w:space="720" w:num="1"/>
          <w:docGrid w:linePitch="360" w:charSpace="0"/>
        </w:sectPr>
      </w:pPr>
    </w:p>
    <w:p w14:paraId="081B0F7C">
      <w:pPr>
        <w:pStyle w:val="2"/>
        <w:bidi w:val="0"/>
        <w:rPr>
          <w:rStyle w:val="47"/>
          <w:b/>
          <w:bCs/>
        </w:rPr>
      </w:pPr>
      <w:r>
        <w:t>表</w:t>
      </w:r>
      <w:r>
        <w:rPr>
          <w:rFonts w:hint="eastAsia"/>
        </w:rPr>
        <w:t>八</w:t>
      </w:r>
    </w:p>
    <w:tbl>
      <w:tblPr>
        <w:tblStyle w:val="19"/>
        <w:tblW w:w="88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60"/>
      </w:tblGrid>
      <w:tr w14:paraId="27423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7" w:hRule="atLeast"/>
          <w:jc w:val="center"/>
        </w:trPr>
        <w:tc>
          <w:tcPr>
            <w:tcW w:w="8860" w:type="dxa"/>
          </w:tcPr>
          <w:p w14:paraId="01FE112F">
            <w:pPr>
              <w:keepNext w:val="0"/>
              <w:keepLines w:val="0"/>
              <w:widowControl/>
              <w:suppressLineNumbers w:val="0"/>
              <w:adjustRightInd w:val="0"/>
              <w:snapToGrid w:val="0"/>
              <w:spacing w:before="0" w:beforeAutospacing="0" w:after="0" w:afterAutospacing="0" w:line="360" w:lineRule="auto"/>
              <w:ind w:left="0" w:leftChars="0" w:right="0" w:firstLine="0" w:firstLineChars="0"/>
              <w:jc w:val="left"/>
              <w:rPr>
                <w:rFonts w:hint="default" w:ascii="Times New Roman" w:hAnsi="Times New Roman" w:eastAsia="宋体" w:cs="Times New Roman"/>
                <w:b/>
                <w:color w:val="000000"/>
                <w:kern w:val="0"/>
                <w:sz w:val="28"/>
                <w:szCs w:val="28"/>
              </w:rPr>
            </w:pPr>
            <w:r>
              <w:rPr>
                <w:rFonts w:hint="default" w:ascii="Times New Roman" w:hAnsi="Times New Roman" w:eastAsia="宋体" w:cs="Times New Roman"/>
                <w:b/>
                <w:color w:val="000000"/>
                <w:kern w:val="0"/>
                <w:sz w:val="28"/>
                <w:szCs w:val="28"/>
              </w:rPr>
              <w:t>验收监测结论：</w:t>
            </w:r>
          </w:p>
          <w:p w14:paraId="05883A15">
            <w:pPr>
              <w:pStyle w:val="3"/>
              <w:suppressLineNumbers w:val="0"/>
              <w:bidi w:val="0"/>
              <w:spacing w:before="0" w:beforeAutospacing="0" w:after="0" w:afterAutospacing="0"/>
              <w:ind w:left="0" w:right="0"/>
              <w:rPr>
                <w:rFonts w:hint="default" w:ascii="Times New Roman" w:hAnsi="Times New Roman" w:cs="Times New Roman"/>
              </w:rPr>
            </w:pPr>
            <w:r>
              <w:rPr>
                <w:rFonts w:hint="default" w:ascii="Times New Roman" w:hAnsi="Times New Roman" w:cs="Times New Roman"/>
              </w:rPr>
              <w:t>8.1 环保设施调试运行效果</w:t>
            </w:r>
          </w:p>
          <w:p w14:paraId="7161EE54">
            <w:pPr>
              <w:pStyle w:val="4"/>
              <w:suppressLineNumbers w:val="0"/>
              <w:bidi w:val="0"/>
              <w:spacing w:before="0" w:beforeAutospacing="0" w:after="0" w:afterAutospacing="0"/>
              <w:ind w:left="0" w:right="0"/>
              <w:rPr>
                <w:rFonts w:hint="default" w:ascii="Times New Roman" w:hAnsi="Times New Roman" w:cs="Times New Roman"/>
              </w:rPr>
            </w:pPr>
            <w:r>
              <w:rPr>
                <w:rFonts w:hint="default" w:ascii="Times New Roman" w:hAnsi="Times New Roman" w:cs="Times New Roman"/>
              </w:rPr>
              <w:t>8.1.1监测结果</w:t>
            </w:r>
          </w:p>
          <w:p w14:paraId="1D1D9866">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sz w:val="24"/>
                <w:szCs w:val="32"/>
              </w:rPr>
            </w:pPr>
            <w:r>
              <w:rPr>
                <w:rFonts w:hint="default" w:ascii="Times New Roman" w:hAnsi="Times New Roman" w:eastAsia="宋体" w:cs="Times New Roman"/>
                <w:b/>
                <w:sz w:val="24"/>
                <w:szCs w:val="32"/>
              </w:rPr>
              <w:t>（1）废气监测结论</w:t>
            </w:r>
          </w:p>
          <w:p w14:paraId="0922A171">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bCs/>
                <w:sz w:val="24"/>
                <w:szCs w:val="24"/>
              </w:rPr>
            </w:pPr>
            <w:r>
              <w:rPr>
                <w:rFonts w:hint="default" w:ascii="Times New Roman" w:hAnsi="Times New Roman" w:cs="Times New Roman"/>
              </w:rPr>
              <w:t>项目产生的废气污染物主要包括磨削</w:t>
            </w:r>
            <w:r>
              <w:rPr>
                <w:rFonts w:hint="default" w:ascii="Times New Roman" w:hAnsi="Times New Roman" w:cs="Times New Roman"/>
                <w:lang w:eastAsia="zh-CN"/>
              </w:rPr>
              <w:t>、切削</w:t>
            </w:r>
            <w:r>
              <w:rPr>
                <w:rFonts w:hint="default" w:ascii="Times New Roman" w:hAnsi="Times New Roman" w:cs="Times New Roman"/>
              </w:rPr>
              <w:t>工序产生的油雾、抛光工序产生的粉尘。</w:t>
            </w:r>
          </w:p>
          <w:p w14:paraId="6E9B38EC">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default" w:ascii="Times New Roman" w:hAnsi="Times New Roman" w:eastAsia="仿宋_GB2312" w:cs="Times New Roman"/>
                <w:color w:val="000000"/>
                <w:kern w:val="0"/>
                <w:sz w:val="24"/>
                <w:szCs w:val="24"/>
              </w:rPr>
            </w:pPr>
            <w:r>
              <w:rPr>
                <w:rFonts w:hint="default" w:ascii="Times New Roman" w:hAnsi="Times New Roman" w:cs="Times New Roman"/>
                <w:sz w:val="24"/>
                <w:szCs w:val="32"/>
              </w:rPr>
              <w:t>根据</w:t>
            </w:r>
            <w:r>
              <w:rPr>
                <w:rFonts w:hint="default" w:ascii="Times New Roman" w:hAnsi="Times New Roman" w:cs="Times New Roman"/>
                <w:sz w:val="24"/>
                <w:szCs w:val="32"/>
                <w:lang w:eastAsia="zh-CN"/>
              </w:rPr>
              <w:t>无组织废气</w:t>
            </w:r>
            <w:r>
              <w:rPr>
                <w:rFonts w:hint="default" w:ascii="Times New Roman" w:hAnsi="Times New Roman" w:cs="Times New Roman"/>
                <w:sz w:val="24"/>
                <w:szCs w:val="32"/>
              </w:rPr>
              <w:t>监测结果，厂界上风向（</w:t>
            </w:r>
            <w:r>
              <w:rPr>
                <w:rFonts w:hint="default" w:ascii="Times New Roman" w:hAnsi="Times New Roman" w:cs="Times New Roman"/>
                <w:sz w:val="24"/>
                <w:szCs w:val="32"/>
                <w:lang w:val="en-US" w:eastAsia="zh-CN"/>
              </w:rPr>
              <w:t>G</w:t>
            </w:r>
            <w:r>
              <w:rPr>
                <w:rFonts w:hint="default" w:ascii="Times New Roman" w:hAnsi="Times New Roman" w:cs="Times New Roman"/>
                <w:sz w:val="24"/>
                <w:szCs w:val="32"/>
              </w:rPr>
              <w:t>1）、厂界下风向（</w:t>
            </w:r>
            <w:r>
              <w:rPr>
                <w:rFonts w:hint="default" w:ascii="Times New Roman" w:hAnsi="Times New Roman" w:cs="Times New Roman"/>
                <w:sz w:val="24"/>
                <w:szCs w:val="32"/>
                <w:lang w:val="en-US" w:eastAsia="zh-CN"/>
              </w:rPr>
              <w:t>G</w:t>
            </w:r>
            <w:r>
              <w:rPr>
                <w:rFonts w:hint="default" w:ascii="Times New Roman" w:hAnsi="Times New Roman" w:cs="Times New Roman"/>
                <w:sz w:val="24"/>
                <w:szCs w:val="32"/>
              </w:rPr>
              <w:t>2、</w:t>
            </w:r>
            <w:r>
              <w:rPr>
                <w:rFonts w:hint="default" w:ascii="Times New Roman" w:hAnsi="Times New Roman" w:cs="Times New Roman"/>
                <w:sz w:val="24"/>
                <w:szCs w:val="32"/>
                <w:lang w:val="en-US" w:eastAsia="zh-CN"/>
              </w:rPr>
              <w:t>G</w:t>
            </w:r>
            <w:r>
              <w:rPr>
                <w:rFonts w:hint="default" w:ascii="Times New Roman" w:hAnsi="Times New Roman" w:cs="Times New Roman"/>
                <w:sz w:val="24"/>
                <w:szCs w:val="32"/>
              </w:rPr>
              <w:t>3、</w:t>
            </w:r>
            <w:r>
              <w:rPr>
                <w:rFonts w:hint="default" w:ascii="Times New Roman" w:hAnsi="Times New Roman" w:cs="Times New Roman"/>
                <w:sz w:val="24"/>
                <w:szCs w:val="32"/>
                <w:lang w:val="en-US" w:eastAsia="zh-CN"/>
              </w:rPr>
              <w:t>G</w:t>
            </w:r>
            <w:r>
              <w:rPr>
                <w:rFonts w:hint="default" w:ascii="Times New Roman" w:hAnsi="Times New Roman" w:cs="Times New Roman"/>
                <w:sz w:val="24"/>
                <w:szCs w:val="32"/>
              </w:rPr>
              <w:t>4）废气无组织排放监控点中，</w:t>
            </w:r>
            <w:r>
              <w:rPr>
                <w:rFonts w:hint="default" w:ascii="Times New Roman" w:hAnsi="Times New Roman" w:cs="Times New Roman"/>
                <w:sz w:val="24"/>
                <w:szCs w:val="32"/>
                <w:lang w:eastAsia="zh-CN"/>
              </w:rPr>
              <w:t>非甲烷总烃</w:t>
            </w:r>
            <w:r>
              <w:rPr>
                <w:rFonts w:hint="eastAsia" w:ascii="Times New Roman" w:hAnsi="Times New Roman" w:cs="Times New Roman"/>
                <w:sz w:val="24"/>
                <w:szCs w:val="32"/>
                <w:lang w:eastAsia="zh-CN"/>
              </w:rPr>
              <w:t>、</w:t>
            </w:r>
            <w:r>
              <w:rPr>
                <w:rFonts w:hint="eastAsia" w:ascii="Times New Roman" w:hAnsi="Times New Roman" w:cs="Times New Roman"/>
                <w:sz w:val="24"/>
                <w:szCs w:val="32"/>
                <w:lang w:val="en-US" w:eastAsia="zh-CN"/>
              </w:rPr>
              <w:t>颗粒物</w:t>
            </w:r>
            <w:r>
              <w:rPr>
                <w:rFonts w:hint="default" w:ascii="Times New Roman" w:hAnsi="Times New Roman" w:cs="Times New Roman"/>
                <w:sz w:val="24"/>
                <w:szCs w:val="32"/>
              </w:rPr>
              <w:t>的检测值满足《大气污染物综合排放标准》（GB16297-1996）限值</w:t>
            </w:r>
            <w:r>
              <w:rPr>
                <w:rFonts w:hint="default" w:ascii="Times New Roman" w:hAnsi="Times New Roman" w:eastAsia="宋体" w:cs="Times New Roman"/>
                <w:sz w:val="24"/>
                <w:szCs w:val="24"/>
                <w:lang w:val="en-US" w:eastAsia="zh-CN" w:bidi="ar"/>
              </w:rPr>
              <w:t>。</w:t>
            </w:r>
          </w:p>
          <w:p w14:paraId="7B7E1B38">
            <w:pPr>
              <w:keepNext w:val="0"/>
              <w:keepLines w:val="0"/>
              <w:widowControl/>
              <w:suppressLineNumbers w:val="0"/>
              <w:adjustRightInd w:val="0"/>
              <w:snapToGrid w:val="0"/>
              <w:spacing w:before="0" w:beforeAutospacing="0" w:after="0" w:afterAutospacing="0" w:line="360" w:lineRule="auto"/>
              <w:ind w:left="0" w:right="0" w:firstLine="482" w:firstLineChars="200"/>
              <w:jc w:val="left"/>
              <w:rPr>
                <w:rFonts w:hint="default" w:ascii="Times New Roman" w:hAnsi="Times New Roman" w:eastAsia="宋体" w:cs="Times New Roman"/>
                <w:b/>
                <w:sz w:val="24"/>
                <w:szCs w:val="32"/>
                <w:lang w:val="en-US" w:eastAsia="zh-CN"/>
              </w:rPr>
            </w:pPr>
            <w:r>
              <w:rPr>
                <w:rFonts w:hint="default" w:ascii="Times New Roman" w:hAnsi="Times New Roman" w:eastAsia="宋体" w:cs="Times New Roman"/>
                <w:b/>
                <w:sz w:val="24"/>
                <w:szCs w:val="32"/>
              </w:rPr>
              <w:t>（2）</w:t>
            </w:r>
            <w:r>
              <w:rPr>
                <w:rFonts w:hint="default" w:ascii="Times New Roman" w:hAnsi="Times New Roman" w:eastAsia="宋体" w:cs="Times New Roman"/>
                <w:b/>
                <w:sz w:val="24"/>
                <w:szCs w:val="32"/>
                <w:lang w:eastAsia="zh-CN"/>
              </w:rPr>
              <w:t>废水监测结论</w:t>
            </w:r>
          </w:p>
          <w:p w14:paraId="1245194C">
            <w:pPr>
              <w:pStyle w:val="53"/>
              <w:bidi w:val="0"/>
              <w:spacing w:before="0"/>
              <w:rPr>
                <w:rFonts w:hint="default" w:ascii="Times New Roman" w:hAnsi="Times New Roman" w:cs="Times New Roman"/>
              </w:rPr>
            </w:pPr>
            <w:r>
              <w:rPr>
                <w:rFonts w:hint="default" w:ascii="Times New Roman" w:hAnsi="Times New Roman" w:eastAsia="宋体" w:cs="Times New Roman"/>
                <w:kern w:val="2"/>
                <w:sz w:val="24"/>
                <w:szCs w:val="20"/>
                <w:lang w:val="en-US" w:eastAsia="zh-CN" w:bidi="ar"/>
              </w:rPr>
              <w:t>项目废水主要为</w:t>
            </w:r>
            <w:r>
              <w:rPr>
                <w:rFonts w:hint="default" w:ascii="Times New Roman" w:hAnsi="Times New Roman" w:cs="Times New Roman"/>
                <w:iCs/>
                <w:snapToGrid w:val="0"/>
                <w:kern w:val="0"/>
                <w:sz w:val="24"/>
              </w:rPr>
              <w:t>生活污水、食堂餐饮废水、车间地面清洁废水和超声波清洗废水</w:t>
            </w:r>
            <w:r>
              <w:rPr>
                <w:rFonts w:hint="default" w:ascii="Times New Roman" w:hAnsi="Times New Roman" w:cs="Times New Roman"/>
              </w:rPr>
              <w:t>。厂区排水实行清污分流、污污分流。生活污水进化粪池预处理；食堂餐饮废水</w:t>
            </w:r>
            <w:r>
              <w:rPr>
                <w:rFonts w:hint="default" w:ascii="Times New Roman" w:hAnsi="Times New Roman" w:cs="Times New Roman"/>
                <w:lang w:eastAsia="zh-CN"/>
              </w:rPr>
              <w:t>经过隔油沉淀池预处理；预处理后的生活污水和餐饮废水同</w:t>
            </w:r>
            <w:r>
              <w:rPr>
                <w:rFonts w:hint="default" w:ascii="Times New Roman" w:hAnsi="Times New Roman" w:cs="Times New Roman"/>
              </w:rPr>
              <w:t>车间地面清洁废水和超声波清洗废水进厂区综合污水处理站处理。</w:t>
            </w:r>
          </w:p>
          <w:p w14:paraId="5FFDDF7D">
            <w:pPr>
              <w:pStyle w:val="53"/>
              <w:bidi w:val="0"/>
              <w:spacing w:before="0"/>
              <w:rPr>
                <w:rFonts w:hint="default" w:ascii="Times New Roman" w:hAnsi="Times New Roman" w:cs="Times New Roman"/>
              </w:rPr>
            </w:pPr>
            <w:r>
              <w:rPr>
                <w:rFonts w:hint="default" w:ascii="Times New Roman" w:hAnsi="Times New Roman" w:cs="Times New Roman"/>
              </w:rPr>
              <w:t>根据总排放口废水监测结果，厂区污水总排口废水中PH、COD、</w:t>
            </w:r>
            <w:r>
              <w:rPr>
                <w:rFonts w:hint="default" w:ascii="Times New Roman" w:hAnsi="Times New Roman" w:cs="Times New Roman"/>
                <w:lang w:val="en-US" w:eastAsia="zh-CN"/>
              </w:rPr>
              <w:t>动植物油</w:t>
            </w:r>
            <w:r>
              <w:rPr>
                <w:rFonts w:hint="default" w:ascii="Times New Roman" w:hAnsi="Times New Roman" w:cs="Times New Roman"/>
              </w:rPr>
              <w:t>、氨氮、SS、石油类、</w:t>
            </w:r>
            <w:r>
              <w:rPr>
                <w:rFonts w:hint="default" w:ascii="Times New Roman" w:hAnsi="Times New Roman" w:cs="Times New Roman"/>
                <w:lang w:val="en-US" w:eastAsia="zh-CN"/>
              </w:rPr>
              <w:t>LAS</w:t>
            </w:r>
            <w:r>
              <w:rPr>
                <w:rFonts w:hint="default" w:ascii="Times New Roman" w:hAnsi="Times New Roman" w:cs="Times New Roman"/>
              </w:rPr>
              <w:t>均达到城东污水处理厂接管标准。</w:t>
            </w:r>
          </w:p>
          <w:p w14:paraId="23187C4A">
            <w:pPr>
              <w:keepNext w:val="0"/>
              <w:keepLines w:val="0"/>
              <w:widowControl/>
              <w:suppressLineNumbers w:val="0"/>
              <w:adjustRightInd w:val="0"/>
              <w:snapToGrid w:val="0"/>
              <w:spacing w:before="0" w:beforeAutospacing="0" w:after="0" w:afterAutospacing="0" w:line="360" w:lineRule="auto"/>
              <w:ind w:left="0" w:right="0" w:firstLine="482" w:firstLineChars="200"/>
              <w:jc w:val="left"/>
              <w:rPr>
                <w:rFonts w:hint="default" w:ascii="Times New Roman" w:hAnsi="Times New Roman" w:eastAsia="仿宋_GB2312" w:cs="Times New Roman"/>
                <w:color w:val="000000"/>
                <w:kern w:val="0"/>
                <w:sz w:val="24"/>
                <w:szCs w:val="24"/>
              </w:rPr>
            </w:pPr>
            <w:r>
              <w:rPr>
                <w:rFonts w:hint="default" w:ascii="Times New Roman" w:hAnsi="Times New Roman" w:eastAsia="宋体" w:cs="Times New Roman"/>
                <w:b/>
                <w:sz w:val="24"/>
                <w:szCs w:val="32"/>
                <w:lang w:eastAsia="zh-CN"/>
              </w:rPr>
              <w:t>（</w:t>
            </w:r>
            <w:r>
              <w:rPr>
                <w:rFonts w:hint="default" w:ascii="Times New Roman" w:hAnsi="Times New Roman" w:eastAsia="宋体" w:cs="Times New Roman"/>
                <w:b/>
                <w:sz w:val="24"/>
                <w:szCs w:val="32"/>
                <w:lang w:val="en-US" w:eastAsia="zh-CN"/>
              </w:rPr>
              <w:t>3</w:t>
            </w:r>
            <w:r>
              <w:rPr>
                <w:rFonts w:hint="default" w:ascii="Times New Roman" w:hAnsi="Times New Roman" w:eastAsia="宋体" w:cs="Times New Roman"/>
                <w:b/>
                <w:sz w:val="24"/>
                <w:szCs w:val="32"/>
                <w:lang w:eastAsia="zh-CN"/>
              </w:rPr>
              <w:t>）</w:t>
            </w:r>
            <w:r>
              <w:rPr>
                <w:rFonts w:hint="default" w:ascii="Times New Roman" w:hAnsi="Times New Roman" w:eastAsia="宋体" w:cs="Times New Roman"/>
                <w:b/>
                <w:sz w:val="24"/>
                <w:szCs w:val="32"/>
              </w:rPr>
              <w:t>噪声监测结论</w:t>
            </w:r>
          </w:p>
          <w:p w14:paraId="59857D62">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仿宋_GB2312" w:cs="Times New Roman"/>
                <w:color w:val="000000"/>
                <w:kern w:val="0"/>
                <w:sz w:val="24"/>
                <w:szCs w:val="24"/>
              </w:rPr>
            </w:pPr>
            <w:r>
              <w:rPr>
                <w:rFonts w:hint="default" w:ascii="Times New Roman" w:hAnsi="Times New Roman" w:eastAsia="宋体" w:cs="Times New Roman"/>
                <w:sz w:val="24"/>
                <w:szCs w:val="24"/>
                <w:lang w:val="en-US" w:eastAsia="zh-CN" w:bidi="ar"/>
              </w:rPr>
              <w:t>验</w:t>
            </w:r>
            <w:r>
              <w:rPr>
                <w:rFonts w:hint="default" w:ascii="Times New Roman" w:hAnsi="Times New Roman" w:eastAsia="宋体" w:cs="Times New Roman"/>
                <w:sz w:val="24"/>
                <w:szCs w:val="24"/>
                <w:highlight w:val="none"/>
                <w:lang w:val="en-US" w:eastAsia="zh-CN" w:bidi="ar"/>
              </w:rPr>
              <w:t>收监测期间，</w:t>
            </w:r>
            <w:r>
              <w:rPr>
                <w:rFonts w:hint="eastAsia" w:ascii="Times New Roman" w:hAnsi="Times New Roman" w:eastAsia="宋体" w:cs="Times New Roman"/>
                <w:sz w:val="24"/>
                <w:szCs w:val="24"/>
                <w:highlight w:val="none"/>
                <w:lang w:val="en-US" w:eastAsia="zh-CN" w:bidi="ar"/>
              </w:rPr>
              <w:t>东厂界</w:t>
            </w:r>
            <w:r>
              <w:rPr>
                <w:rFonts w:hint="eastAsia" w:ascii="Times New Roman" w:hAnsi="Times New Roman" w:eastAsia="宋体" w:cs="Times New Roman"/>
                <w:sz w:val="24"/>
                <w:szCs w:val="24"/>
                <w:highlight w:val="none"/>
              </w:rPr>
              <w:t>厂界昼间</w:t>
            </w:r>
            <w:r>
              <w:rPr>
                <w:rFonts w:hint="eastAsia" w:ascii="Times New Roman" w:hAnsi="Times New Roman" w:eastAsia="宋体" w:cs="Times New Roman"/>
                <w:sz w:val="24"/>
                <w:szCs w:val="24"/>
                <w:highlight w:val="none"/>
                <w:lang w:eastAsia="zh-CN"/>
              </w:rPr>
              <w:t>、</w:t>
            </w:r>
            <w:r>
              <w:rPr>
                <w:rFonts w:hint="eastAsia" w:ascii="Times New Roman" w:hAnsi="Times New Roman" w:eastAsia="宋体" w:cs="Times New Roman"/>
                <w:sz w:val="24"/>
                <w:szCs w:val="24"/>
                <w:highlight w:val="none"/>
                <w:lang w:val="en-US" w:eastAsia="zh-CN"/>
              </w:rPr>
              <w:t>夜间</w:t>
            </w:r>
            <w:r>
              <w:rPr>
                <w:rFonts w:hint="eastAsia" w:ascii="Times New Roman" w:hAnsi="Times New Roman" w:eastAsia="宋体" w:cs="Times New Roman"/>
                <w:sz w:val="24"/>
                <w:szCs w:val="24"/>
                <w:highlight w:val="none"/>
              </w:rPr>
              <w:t>噪声监测结果均未超过《工业企业厂界环境噪声排放标准》（GB12348-2008）中</w:t>
            </w:r>
            <w:r>
              <w:rPr>
                <w:rFonts w:hint="eastAsia"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rPr>
              <w:t>类区标准限值</w:t>
            </w:r>
            <w:r>
              <w:rPr>
                <w:rFonts w:hint="eastAsia" w:ascii="Times New Roman" w:hAnsi="Times New Roman" w:eastAsia="宋体" w:cs="Times New Roman"/>
                <w:sz w:val="24"/>
                <w:szCs w:val="24"/>
                <w:highlight w:val="none"/>
                <w:lang w:eastAsia="zh-CN"/>
              </w:rPr>
              <w:t>、</w:t>
            </w:r>
            <w:r>
              <w:rPr>
                <w:rFonts w:hint="eastAsia" w:ascii="Times New Roman" w:hAnsi="Times New Roman" w:eastAsia="宋体" w:cs="Times New Roman"/>
                <w:sz w:val="24"/>
                <w:szCs w:val="24"/>
                <w:highlight w:val="none"/>
                <w:lang w:val="en-US" w:eastAsia="zh-CN"/>
              </w:rPr>
              <w:t>其余厂界噪声</w:t>
            </w:r>
            <w:r>
              <w:rPr>
                <w:rFonts w:hint="eastAsia" w:ascii="Times New Roman" w:hAnsi="Times New Roman" w:eastAsia="宋体" w:cs="Times New Roman"/>
                <w:sz w:val="24"/>
                <w:szCs w:val="24"/>
                <w:highlight w:val="none"/>
              </w:rPr>
              <w:t>符合</w:t>
            </w:r>
            <w:r>
              <w:rPr>
                <w:rFonts w:hint="eastAsia"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rPr>
              <w:t>类标准要求，为达标排放。周</w:t>
            </w:r>
            <w:r>
              <w:rPr>
                <w:rFonts w:hint="eastAsia" w:ascii="Times New Roman" w:hAnsi="Times New Roman" w:eastAsia="宋体" w:cs="Times New Roman"/>
                <w:sz w:val="24"/>
                <w:szCs w:val="24"/>
              </w:rPr>
              <w:t>边敏感点噪声监测结果满足《声环境质量标准》（GB3096-2008）中的2类标准。</w:t>
            </w:r>
          </w:p>
          <w:p w14:paraId="5B0E76DD">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sz w:val="24"/>
                <w:szCs w:val="32"/>
              </w:rPr>
            </w:pPr>
            <w:r>
              <w:rPr>
                <w:rFonts w:hint="default" w:ascii="Times New Roman" w:hAnsi="Times New Roman" w:eastAsia="宋体" w:cs="Times New Roman"/>
                <w:b/>
                <w:sz w:val="24"/>
                <w:szCs w:val="32"/>
              </w:rPr>
              <w:t>（</w:t>
            </w:r>
            <w:r>
              <w:rPr>
                <w:rFonts w:hint="default" w:ascii="Times New Roman" w:hAnsi="Times New Roman" w:eastAsia="宋体" w:cs="Times New Roman"/>
                <w:b/>
                <w:bCs w:val="0"/>
                <w:sz w:val="24"/>
                <w:szCs w:val="32"/>
                <w:lang w:val="en-US" w:eastAsia="zh-CN"/>
              </w:rPr>
              <w:t>4</w:t>
            </w:r>
            <w:r>
              <w:rPr>
                <w:rFonts w:hint="default" w:ascii="Times New Roman" w:hAnsi="Times New Roman" w:eastAsia="宋体" w:cs="Times New Roman"/>
                <w:b/>
                <w:bCs w:val="0"/>
                <w:sz w:val="24"/>
                <w:szCs w:val="32"/>
              </w:rPr>
              <w:t>）</w:t>
            </w:r>
            <w:r>
              <w:rPr>
                <w:rFonts w:hint="default" w:ascii="Times New Roman" w:hAnsi="Times New Roman" w:eastAsia="宋体" w:cs="Times New Roman"/>
                <w:b/>
                <w:bCs w:val="0"/>
                <w:sz w:val="24"/>
                <w:szCs w:val="24"/>
                <w:lang w:val="en-US" w:eastAsia="zh-CN" w:bidi="ar"/>
              </w:rPr>
              <w:t>固体废物</w:t>
            </w:r>
          </w:p>
          <w:p w14:paraId="12484D4D">
            <w:pPr>
              <w:pStyle w:val="53"/>
              <w:bidi w:val="0"/>
              <w:spacing w:before="0"/>
              <w:rPr>
                <w:rFonts w:hint="default" w:ascii="Times New Roman" w:hAnsi="Times New Roman" w:cs="Times New Roman"/>
                <w:lang w:val="en-US"/>
              </w:rPr>
            </w:pPr>
            <w:r>
              <w:rPr>
                <w:rFonts w:hint="default" w:ascii="Times New Roman" w:hAnsi="Times New Roman" w:cs="Times New Roman"/>
                <w:lang w:val="en-US" w:eastAsia="zh-CN"/>
              </w:rPr>
              <w:t>本次验收项目产生的固体废物主要有废切削、磨削液、磨削油泥、废液压油、废化学品桶、废砂轮、收集的粉尘、油雾净化器收集的废油、含油污泥、生化污泥等。其中废砂轮、收集的粉尘、生化污泥外售综合利用；废切削、磨削液、磨削油泥、废液压油、废化学品桶、含油污泥、废油定期交由</w:t>
            </w:r>
            <w:r>
              <w:rPr>
                <w:rFonts w:hint="default" w:ascii="Times New Roman" w:hAnsi="Times New Roman" w:cs="Times New Roman"/>
              </w:rPr>
              <w:t>安徽省爱维斯环保科技有限公司</w:t>
            </w:r>
            <w:r>
              <w:rPr>
                <w:rFonts w:hint="default" w:ascii="Times New Roman" w:hAnsi="Times New Roman" w:cs="Times New Roman"/>
                <w:lang w:val="en-US" w:eastAsia="zh-CN"/>
              </w:rPr>
              <w:t>无害化处置。</w:t>
            </w:r>
          </w:p>
          <w:p w14:paraId="5E671813">
            <w:pPr>
              <w:pStyle w:val="53"/>
              <w:bidi w:val="0"/>
              <w:spacing w:before="0"/>
              <w:rPr>
                <w:rFonts w:hint="default" w:ascii="Times New Roman" w:hAnsi="Times New Roman" w:cs="Times New Roman"/>
              </w:rPr>
            </w:pPr>
            <w:r>
              <w:rPr>
                <w:rFonts w:hint="default" w:ascii="Times New Roman" w:hAnsi="Times New Roman" w:cs="Times New Roman"/>
                <w:lang w:val="en-US" w:eastAsia="zh-CN"/>
              </w:rPr>
              <w:t>综上，项目运营期废气、废水、噪声及固体废物均得到有效处置，项目运营期对周边环境影响较小。</w:t>
            </w:r>
          </w:p>
          <w:p w14:paraId="2837CCA5">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bCs/>
                <w:sz w:val="24"/>
                <w:szCs w:val="32"/>
                <w:lang w:eastAsia="zh-CN"/>
              </w:rPr>
            </w:pPr>
            <w:r>
              <w:rPr>
                <w:rFonts w:hint="default" w:ascii="Times New Roman" w:hAnsi="Times New Roman" w:eastAsia="宋体" w:cs="Times New Roman"/>
                <w:b/>
                <w:bCs/>
                <w:sz w:val="24"/>
                <w:szCs w:val="32"/>
                <w:lang w:eastAsia="zh-CN"/>
              </w:rPr>
              <w:t>（</w:t>
            </w:r>
            <w:r>
              <w:rPr>
                <w:rFonts w:hint="default" w:ascii="Times New Roman" w:hAnsi="Times New Roman" w:eastAsia="宋体" w:cs="Times New Roman"/>
                <w:b/>
                <w:bCs/>
                <w:sz w:val="24"/>
                <w:szCs w:val="32"/>
                <w:lang w:val="en-US" w:eastAsia="zh-CN"/>
              </w:rPr>
              <w:t>5</w:t>
            </w:r>
            <w:r>
              <w:rPr>
                <w:rFonts w:hint="default" w:ascii="Times New Roman" w:hAnsi="Times New Roman" w:eastAsia="宋体" w:cs="Times New Roman"/>
                <w:b/>
                <w:bCs/>
                <w:sz w:val="24"/>
                <w:szCs w:val="32"/>
                <w:lang w:eastAsia="zh-CN"/>
              </w:rPr>
              <w:t>）污染物排放总量</w:t>
            </w:r>
          </w:p>
          <w:p w14:paraId="7A05A06E">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32"/>
              </w:rPr>
            </w:pPr>
            <w:r>
              <w:rPr>
                <w:rFonts w:hint="default" w:ascii="Times New Roman" w:hAnsi="Times New Roman" w:eastAsia="宋体" w:cs="Times New Roman"/>
                <w:bCs/>
                <w:snapToGrid w:val="0"/>
                <w:sz w:val="24"/>
                <w:szCs w:val="24"/>
                <w:lang w:val="en-US" w:eastAsia="zh-CN" w:bidi="ar"/>
              </w:rPr>
              <w:t>根据现场调查</w:t>
            </w:r>
            <w:r>
              <w:rPr>
                <w:rFonts w:hint="default" w:ascii="Times New Roman" w:hAnsi="Times New Roman" w:eastAsia="宋体" w:cs="Times New Roman"/>
                <w:bCs/>
                <w:snapToGrid w:val="0"/>
                <w:sz w:val="24"/>
                <w:szCs w:val="24"/>
                <w:highlight w:val="none"/>
                <w:lang w:val="en-US" w:eastAsia="zh-CN" w:bidi="ar"/>
              </w:rPr>
              <w:t>，目前项目及其配套环保设施已全部建设完成。本项目污染物总量核算情况如下：排入外环境的COD、氨氮的排放总量分别为0.0</w:t>
            </w:r>
            <w:r>
              <w:rPr>
                <w:rFonts w:hint="eastAsia" w:ascii="Times New Roman" w:hAnsi="Times New Roman" w:eastAsia="宋体" w:cs="Times New Roman"/>
                <w:bCs/>
                <w:snapToGrid w:val="0"/>
                <w:sz w:val="24"/>
                <w:szCs w:val="24"/>
                <w:highlight w:val="none"/>
                <w:lang w:val="en-US" w:eastAsia="zh-CN" w:bidi="ar"/>
              </w:rPr>
              <w:t>25</w:t>
            </w:r>
            <w:r>
              <w:rPr>
                <w:rFonts w:hint="default" w:ascii="Times New Roman" w:hAnsi="Times New Roman" w:eastAsia="宋体" w:cs="Times New Roman"/>
                <w:bCs/>
                <w:snapToGrid w:val="0"/>
                <w:sz w:val="24"/>
                <w:szCs w:val="24"/>
                <w:highlight w:val="none"/>
                <w:lang w:val="en-US" w:eastAsia="zh-CN" w:bidi="ar"/>
              </w:rPr>
              <w:t>t/a、0.00</w:t>
            </w:r>
            <w:r>
              <w:rPr>
                <w:rFonts w:hint="eastAsia" w:ascii="Times New Roman" w:hAnsi="Times New Roman" w:eastAsia="宋体" w:cs="Times New Roman"/>
                <w:bCs/>
                <w:snapToGrid w:val="0"/>
                <w:sz w:val="24"/>
                <w:szCs w:val="24"/>
                <w:highlight w:val="none"/>
                <w:lang w:val="en-US" w:eastAsia="zh-CN" w:bidi="ar"/>
              </w:rPr>
              <w:t>25</w:t>
            </w:r>
            <w:r>
              <w:rPr>
                <w:rFonts w:hint="default" w:ascii="Times New Roman" w:hAnsi="Times New Roman" w:eastAsia="宋体" w:cs="Times New Roman"/>
                <w:bCs/>
                <w:snapToGrid w:val="0"/>
                <w:sz w:val="24"/>
                <w:szCs w:val="24"/>
                <w:highlight w:val="none"/>
                <w:lang w:val="en-US" w:eastAsia="zh-CN" w:bidi="ar"/>
              </w:rPr>
              <w:t>t/a，满足总量控</w:t>
            </w:r>
            <w:r>
              <w:rPr>
                <w:rFonts w:hint="default" w:ascii="Times New Roman" w:hAnsi="Times New Roman" w:eastAsia="宋体" w:cs="Times New Roman"/>
                <w:bCs/>
                <w:snapToGrid w:val="0"/>
                <w:sz w:val="24"/>
                <w:szCs w:val="24"/>
                <w:lang w:val="en-US" w:eastAsia="zh-CN" w:bidi="ar"/>
              </w:rPr>
              <w:t>制指标要求。</w:t>
            </w:r>
          </w:p>
          <w:p w14:paraId="6B6045AF">
            <w:pPr>
              <w:keepNext w:val="0"/>
              <w:keepLines w:val="0"/>
              <w:suppressLineNumbers w:val="0"/>
              <w:adjustRightInd w:val="0"/>
              <w:snapToGrid w:val="0"/>
              <w:spacing w:before="48" w:beforeLines="20" w:beforeAutospacing="0" w:after="0" w:afterAutospacing="0" w:line="360" w:lineRule="auto"/>
              <w:ind w:left="0" w:right="0"/>
              <w:rPr>
                <w:rFonts w:hint="default" w:ascii="Times New Roman" w:hAnsi="Times New Roman" w:eastAsia="仿宋_GB2312" w:cs="Times New Roman"/>
                <w:color w:val="000000"/>
                <w:kern w:val="0"/>
                <w:sz w:val="24"/>
                <w:szCs w:val="24"/>
              </w:rPr>
            </w:pPr>
          </w:p>
        </w:tc>
      </w:tr>
    </w:tbl>
    <w:p w14:paraId="7B4C98B3">
      <w:pPr>
        <w:jc w:val="center"/>
        <w:rPr>
          <w:rFonts w:asciiTheme="minorEastAsia" w:hAnsiTheme="minorEastAsia"/>
          <w:b/>
          <w:color w:val="000000" w:themeColor="text1"/>
          <w:sz w:val="24"/>
          <w:szCs w:val="24"/>
          <w14:textFill>
            <w14:solidFill>
              <w14:schemeClr w14:val="tx1"/>
            </w14:solidFill>
          </w14:textFill>
        </w:rPr>
      </w:pPr>
    </w:p>
    <w:sectPr>
      <w:pgSz w:w="11906" w:h="16838"/>
      <w:pgMar w:top="1440" w:right="1797" w:bottom="1440" w:left="1797" w:header="851" w:footer="992" w:gutter="0"/>
      <w:pgBorders>
        <w:top w:val="none" w:sz="0" w:space="0"/>
        <w:left w:val="none" w:sz="0" w:space="0"/>
        <w:bottom w:val="none" w:sz="0" w:space="0"/>
        <w:right w:val="none" w:sz="0" w:space="0"/>
      </w:pgBorders>
      <w:cols w:space="425" w:num="1"/>
      <w:docGrid w:linePitch="31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roman"/>
    <w:pitch w:val="default"/>
    <w:sig w:usb0="E0002EFF" w:usb1="C000785B" w:usb2="00000009" w:usb3="00000000" w:csb0="400001FF" w:csb1="FFFF0000"/>
  </w:font>
  <w:font w:name="宋体">
    <w:panose1 w:val="02010600030101010101"/>
    <w:charset w:val="B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Cambria">
    <w:panose1 w:val="02040503050406030204"/>
    <w:charset w:val="00"/>
    <w:family w:val="auto"/>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华文新魏">
    <w:panose1 w:val="02010800040101010101"/>
    <w:charset w:val="86"/>
    <w:family w:val="auto"/>
    <w:pitch w:val="default"/>
    <w:sig w:usb0="00000001" w:usb1="080F0000" w:usb2="00000000" w:usb3="00000000" w:csb0="00040000" w:csb1="00000000"/>
  </w:font>
  <w:font w:name="Tahoma">
    <w:panose1 w:val="020B0604030504040204"/>
    <w:charset w:val="00"/>
    <w:family w:val="swiss"/>
    <w:pitch w:val="default"/>
    <w:sig w:usb0="E1002EFF" w:usb1="C000605B" w:usb2="00000029" w:usb3="00000000" w:csb0="200101FF" w:csb1="2028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E4E30A">
    <w:pPr>
      <w:pStyle w:val="13"/>
      <w:jc w:val="center"/>
    </w:pPr>
  </w:p>
  <w:p w14:paraId="76365D30">
    <w:pPr>
      <w:pStyle w:val="1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68097899"/>
      <w:docPartObj>
        <w:docPartGallery w:val="autotext"/>
      </w:docPartObj>
    </w:sdtPr>
    <w:sdtContent>
      <w:p w14:paraId="7591D482">
        <w:pPr>
          <w:pStyle w:val="13"/>
          <w:jc w:val="center"/>
        </w:pPr>
        <w:r>
          <w:fldChar w:fldCharType="begin"/>
        </w:r>
        <w:r>
          <w:instrText xml:space="preserve">PAGE   \* MERGEFORMAT</w:instrText>
        </w:r>
        <w:r>
          <w:fldChar w:fldCharType="separate"/>
        </w:r>
        <w:r>
          <w:rPr>
            <w:lang w:val="zh-CN"/>
          </w:rPr>
          <w:t>25</w:t>
        </w:r>
        <w:r>
          <w:fldChar w:fldCharType="end"/>
        </w:r>
      </w:p>
    </w:sdtContent>
  </w:sdt>
  <w:p w14:paraId="130C225A">
    <w:pPr>
      <w:pStyle w:val="1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E7E4447"/>
    <w:multiLevelType w:val="singleLevel"/>
    <w:tmpl w:val="2E7E4447"/>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bordersDoNotSurroundHeader w:val="0"/>
  <w:bordersDoNotSurroundFooter w:val="0"/>
  <w:documentProtection w:enforcement="0"/>
  <w:defaultTabStop w:val="420"/>
  <w:drawingGridHorizontalSpacing w:val="105"/>
  <w:drawingGridVerticalSpacing w:val="319"/>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I4MmY4NzljYjg1MGYzZWUyZTIyOTFjMzY0Y2M3ZDYifQ=="/>
  </w:docVars>
  <w:rsids>
    <w:rsidRoot w:val="00172A27"/>
    <w:rsid w:val="000029A5"/>
    <w:rsid w:val="00051439"/>
    <w:rsid w:val="00071A30"/>
    <w:rsid w:val="00080B1F"/>
    <w:rsid w:val="00096432"/>
    <w:rsid w:val="000A32E9"/>
    <w:rsid w:val="000C2EC8"/>
    <w:rsid w:val="000C583D"/>
    <w:rsid w:val="000E0430"/>
    <w:rsid w:val="000E1AB1"/>
    <w:rsid w:val="001308A9"/>
    <w:rsid w:val="00137F57"/>
    <w:rsid w:val="00171F6F"/>
    <w:rsid w:val="001A08AD"/>
    <w:rsid w:val="001E7D65"/>
    <w:rsid w:val="0021290F"/>
    <w:rsid w:val="00224E86"/>
    <w:rsid w:val="002307D8"/>
    <w:rsid w:val="002408E1"/>
    <w:rsid w:val="0027304E"/>
    <w:rsid w:val="002851ED"/>
    <w:rsid w:val="002A7D67"/>
    <w:rsid w:val="002D6E20"/>
    <w:rsid w:val="002E0553"/>
    <w:rsid w:val="002F2986"/>
    <w:rsid w:val="003017C9"/>
    <w:rsid w:val="00303E21"/>
    <w:rsid w:val="00310994"/>
    <w:rsid w:val="00354A64"/>
    <w:rsid w:val="00367C06"/>
    <w:rsid w:val="00377AB5"/>
    <w:rsid w:val="003967FF"/>
    <w:rsid w:val="003B0FB4"/>
    <w:rsid w:val="003B17B4"/>
    <w:rsid w:val="003D15F8"/>
    <w:rsid w:val="00401CC1"/>
    <w:rsid w:val="00413EF7"/>
    <w:rsid w:val="0044405A"/>
    <w:rsid w:val="00456DE7"/>
    <w:rsid w:val="00460A01"/>
    <w:rsid w:val="00480E6A"/>
    <w:rsid w:val="004B719E"/>
    <w:rsid w:val="004C5904"/>
    <w:rsid w:val="004D5963"/>
    <w:rsid w:val="004E6EAC"/>
    <w:rsid w:val="005059BF"/>
    <w:rsid w:val="00515BD7"/>
    <w:rsid w:val="00517305"/>
    <w:rsid w:val="00524BAC"/>
    <w:rsid w:val="00533878"/>
    <w:rsid w:val="00543893"/>
    <w:rsid w:val="00572D5D"/>
    <w:rsid w:val="005A38FD"/>
    <w:rsid w:val="005B2E9E"/>
    <w:rsid w:val="005C45A9"/>
    <w:rsid w:val="005E534C"/>
    <w:rsid w:val="005F24B6"/>
    <w:rsid w:val="005F3AF9"/>
    <w:rsid w:val="00600438"/>
    <w:rsid w:val="00610910"/>
    <w:rsid w:val="00614473"/>
    <w:rsid w:val="00624779"/>
    <w:rsid w:val="00635926"/>
    <w:rsid w:val="00650C2E"/>
    <w:rsid w:val="006740B8"/>
    <w:rsid w:val="006845A6"/>
    <w:rsid w:val="006A06B4"/>
    <w:rsid w:val="006B48F6"/>
    <w:rsid w:val="006D1572"/>
    <w:rsid w:val="006D5028"/>
    <w:rsid w:val="00706ED0"/>
    <w:rsid w:val="00730CCF"/>
    <w:rsid w:val="00755B2A"/>
    <w:rsid w:val="00762994"/>
    <w:rsid w:val="00771F63"/>
    <w:rsid w:val="00790EDA"/>
    <w:rsid w:val="007961A3"/>
    <w:rsid w:val="007A44FF"/>
    <w:rsid w:val="007F677A"/>
    <w:rsid w:val="00802ADD"/>
    <w:rsid w:val="00814373"/>
    <w:rsid w:val="00890ACD"/>
    <w:rsid w:val="008A23A9"/>
    <w:rsid w:val="008B14C2"/>
    <w:rsid w:val="008B3B12"/>
    <w:rsid w:val="008B76D4"/>
    <w:rsid w:val="009104D2"/>
    <w:rsid w:val="00917B69"/>
    <w:rsid w:val="0093460A"/>
    <w:rsid w:val="009449F6"/>
    <w:rsid w:val="00950EBB"/>
    <w:rsid w:val="0095576A"/>
    <w:rsid w:val="00996931"/>
    <w:rsid w:val="009B1FDB"/>
    <w:rsid w:val="009E79AC"/>
    <w:rsid w:val="00A307D9"/>
    <w:rsid w:val="00A3248A"/>
    <w:rsid w:val="00A3742E"/>
    <w:rsid w:val="00A515C8"/>
    <w:rsid w:val="00A73309"/>
    <w:rsid w:val="00A7482E"/>
    <w:rsid w:val="00AB251E"/>
    <w:rsid w:val="00AC4577"/>
    <w:rsid w:val="00AD2A6F"/>
    <w:rsid w:val="00AE4AC8"/>
    <w:rsid w:val="00B136A1"/>
    <w:rsid w:val="00B1572F"/>
    <w:rsid w:val="00B317D2"/>
    <w:rsid w:val="00B60F0B"/>
    <w:rsid w:val="00B61BC8"/>
    <w:rsid w:val="00B64F7F"/>
    <w:rsid w:val="00B73783"/>
    <w:rsid w:val="00B8794B"/>
    <w:rsid w:val="00BA658E"/>
    <w:rsid w:val="00BB134D"/>
    <w:rsid w:val="00BC3650"/>
    <w:rsid w:val="00BE4B5D"/>
    <w:rsid w:val="00C0456B"/>
    <w:rsid w:val="00C178AE"/>
    <w:rsid w:val="00C3344E"/>
    <w:rsid w:val="00C4230B"/>
    <w:rsid w:val="00C439FF"/>
    <w:rsid w:val="00C610D3"/>
    <w:rsid w:val="00C66122"/>
    <w:rsid w:val="00C718A3"/>
    <w:rsid w:val="00C859E3"/>
    <w:rsid w:val="00C85A38"/>
    <w:rsid w:val="00C864DB"/>
    <w:rsid w:val="00CA45E9"/>
    <w:rsid w:val="00CB308A"/>
    <w:rsid w:val="00CB4B6F"/>
    <w:rsid w:val="00CC6D22"/>
    <w:rsid w:val="00CD40BD"/>
    <w:rsid w:val="00D00A85"/>
    <w:rsid w:val="00D01C1E"/>
    <w:rsid w:val="00D45A6E"/>
    <w:rsid w:val="00D86C9D"/>
    <w:rsid w:val="00D95C23"/>
    <w:rsid w:val="00DB629B"/>
    <w:rsid w:val="00DE58DD"/>
    <w:rsid w:val="00E13FE2"/>
    <w:rsid w:val="00E66C27"/>
    <w:rsid w:val="00E753EA"/>
    <w:rsid w:val="00E817AC"/>
    <w:rsid w:val="00E96113"/>
    <w:rsid w:val="00E966E5"/>
    <w:rsid w:val="00EB066E"/>
    <w:rsid w:val="00EC1ED9"/>
    <w:rsid w:val="00ED1C9C"/>
    <w:rsid w:val="00F2125F"/>
    <w:rsid w:val="00F3064A"/>
    <w:rsid w:val="00F34D61"/>
    <w:rsid w:val="00F3525A"/>
    <w:rsid w:val="00F457B5"/>
    <w:rsid w:val="00F46ADA"/>
    <w:rsid w:val="00F47A5F"/>
    <w:rsid w:val="00F47FE2"/>
    <w:rsid w:val="00F5329B"/>
    <w:rsid w:val="00F7749E"/>
    <w:rsid w:val="00F802A7"/>
    <w:rsid w:val="00F94F99"/>
    <w:rsid w:val="00FA28EB"/>
    <w:rsid w:val="00FC59AB"/>
    <w:rsid w:val="0189639B"/>
    <w:rsid w:val="01A548CD"/>
    <w:rsid w:val="03382E73"/>
    <w:rsid w:val="036A1168"/>
    <w:rsid w:val="037C63A2"/>
    <w:rsid w:val="03EE769B"/>
    <w:rsid w:val="03EF7C67"/>
    <w:rsid w:val="04587485"/>
    <w:rsid w:val="05E044FB"/>
    <w:rsid w:val="065B21E9"/>
    <w:rsid w:val="07D60505"/>
    <w:rsid w:val="09206AA6"/>
    <w:rsid w:val="0B3956A5"/>
    <w:rsid w:val="0C614150"/>
    <w:rsid w:val="12272A63"/>
    <w:rsid w:val="127253F4"/>
    <w:rsid w:val="13765CFD"/>
    <w:rsid w:val="137C39E2"/>
    <w:rsid w:val="13E967CE"/>
    <w:rsid w:val="13F866C4"/>
    <w:rsid w:val="151E269A"/>
    <w:rsid w:val="158077F6"/>
    <w:rsid w:val="15A622F9"/>
    <w:rsid w:val="15F12B5E"/>
    <w:rsid w:val="17725EC1"/>
    <w:rsid w:val="178E3366"/>
    <w:rsid w:val="183930BC"/>
    <w:rsid w:val="18414CE4"/>
    <w:rsid w:val="194E5E68"/>
    <w:rsid w:val="1B135486"/>
    <w:rsid w:val="1E7F5E1B"/>
    <w:rsid w:val="1FA11DFB"/>
    <w:rsid w:val="206A7EA3"/>
    <w:rsid w:val="215F3791"/>
    <w:rsid w:val="227A2B10"/>
    <w:rsid w:val="24511425"/>
    <w:rsid w:val="24686465"/>
    <w:rsid w:val="25C11445"/>
    <w:rsid w:val="25D300B3"/>
    <w:rsid w:val="27003302"/>
    <w:rsid w:val="27377974"/>
    <w:rsid w:val="28803D2E"/>
    <w:rsid w:val="2A8E3487"/>
    <w:rsid w:val="2B674E60"/>
    <w:rsid w:val="2C1A76C8"/>
    <w:rsid w:val="2CBE62A5"/>
    <w:rsid w:val="2DC7118A"/>
    <w:rsid w:val="2EA740C3"/>
    <w:rsid w:val="30F40860"/>
    <w:rsid w:val="31FA1E04"/>
    <w:rsid w:val="32363A0C"/>
    <w:rsid w:val="328C0EDF"/>
    <w:rsid w:val="336B4FBB"/>
    <w:rsid w:val="343768BF"/>
    <w:rsid w:val="34DB66BC"/>
    <w:rsid w:val="35016BEF"/>
    <w:rsid w:val="352D6C62"/>
    <w:rsid w:val="36B459A2"/>
    <w:rsid w:val="37F214F9"/>
    <w:rsid w:val="3912440E"/>
    <w:rsid w:val="3B0B4C49"/>
    <w:rsid w:val="3B0F3B70"/>
    <w:rsid w:val="3C0218BD"/>
    <w:rsid w:val="3DA07301"/>
    <w:rsid w:val="3DDB363F"/>
    <w:rsid w:val="3E582DED"/>
    <w:rsid w:val="3F461169"/>
    <w:rsid w:val="3F8B2325"/>
    <w:rsid w:val="41A1116B"/>
    <w:rsid w:val="42842AE1"/>
    <w:rsid w:val="44854A6F"/>
    <w:rsid w:val="44A854C2"/>
    <w:rsid w:val="45667082"/>
    <w:rsid w:val="45995FCB"/>
    <w:rsid w:val="463F5FF1"/>
    <w:rsid w:val="48EC688D"/>
    <w:rsid w:val="49153D49"/>
    <w:rsid w:val="496E1930"/>
    <w:rsid w:val="49D54692"/>
    <w:rsid w:val="4BA53A32"/>
    <w:rsid w:val="4D132346"/>
    <w:rsid w:val="4D2E59C5"/>
    <w:rsid w:val="4DE337F1"/>
    <w:rsid w:val="4E692C9E"/>
    <w:rsid w:val="4F563FD2"/>
    <w:rsid w:val="50921CDA"/>
    <w:rsid w:val="54540FBE"/>
    <w:rsid w:val="55DD483D"/>
    <w:rsid w:val="567C0282"/>
    <w:rsid w:val="59C6470B"/>
    <w:rsid w:val="59F14934"/>
    <w:rsid w:val="5CAE1ED4"/>
    <w:rsid w:val="5CBA5941"/>
    <w:rsid w:val="5CEC79E0"/>
    <w:rsid w:val="5DED1994"/>
    <w:rsid w:val="60356F18"/>
    <w:rsid w:val="60C6271C"/>
    <w:rsid w:val="6275357F"/>
    <w:rsid w:val="62B437A0"/>
    <w:rsid w:val="67D10B77"/>
    <w:rsid w:val="694F71E3"/>
    <w:rsid w:val="69651205"/>
    <w:rsid w:val="699A6921"/>
    <w:rsid w:val="6B9118DE"/>
    <w:rsid w:val="6E2C3A63"/>
    <w:rsid w:val="6EA165C9"/>
    <w:rsid w:val="6F7F075D"/>
    <w:rsid w:val="72523A24"/>
    <w:rsid w:val="72A46970"/>
    <w:rsid w:val="739B3958"/>
    <w:rsid w:val="74793E2D"/>
    <w:rsid w:val="74B802DF"/>
    <w:rsid w:val="74E81549"/>
    <w:rsid w:val="76265FB5"/>
    <w:rsid w:val="764E59D0"/>
    <w:rsid w:val="77487425"/>
    <w:rsid w:val="78B83851"/>
    <w:rsid w:val="79712346"/>
    <w:rsid w:val="7A173E3F"/>
    <w:rsid w:val="7AEB42CF"/>
    <w:rsid w:val="7B57269D"/>
    <w:rsid w:val="7D0050EB"/>
    <w:rsid w:val="7ECE276E"/>
    <w:rsid w:val="7EDC3926"/>
    <w:rsid w:val="7F3B744D"/>
    <w:rsid w:val="7FF408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iPriority="99" w:name="Body Text 2"/>
    <w:lsdException w:uiPriority="99" w:name="Body Text 3"/>
    <w:lsdException w:qFormat="1" w:uiPriority="99" w:name="Body Text Indent 2"/>
    <w:lsdException w:qFormat="1"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880" w:firstLineChars="200"/>
      <w:jc w:val="both"/>
    </w:pPr>
    <w:rPr>
      <w:rFonts w:asciiTheme="minorAscii" w:hAnsiTheme="minorAscii" w:eastAsiaTheme="minorEastAsia" w:cstheme="minorBidi"/>
      <w:kern w:val="2"/>
      <w:sz w:val="24"/>
      <w:szCs w:val="22"/>
      <w:lang w:val="en-US" w:eastAsia="zh-CN" w:bidi="ar-SA"/>
    </w:rPr>
  </w:style>
  <w:style w:type="paragraph" w:styleId="2">
    <w:name w:val="heading 1"/>
    <w:basedOn w:val="1"/>
    <w:next w:val="1"/>
    <w:link w:val="47"/>
    <w:qFormat/>
    <w:uiPriority w:val="9"/>
    <w:pPr>
      <w:keepNext/>
      <w:keepLines/>
      <w:spacing w:before="50" w:beforeLines="50" w:after="50" w:afterLines="50" w:line="240" w:lineRule="auto"/>
      <w:ind w:firstLine="0" w:firstLineChars="0"/>
      <w:jc w:val="left"/>
      <w:outlineLvl w:val="0"/>
    </w:pPr>
    <w:rPr>
      <w:rFonts w:asciiTheme="minorAscii" w:hAnsiTheme="minorAscii" w:eastAsiaTheme="majorEastAsia"/>
      <w:b/>
      <w:bCs/>
      <w:kern w:val="44"/>
      <w:sz w:val="36"/>
      <w:szCs w:val="44"/>
    </w:rPr>
  </w:style>
  <w:style w:type="paragraph" w:styleId="3">
    <w:name w:val="heading 2"/>
    <w:basedOn w:val="1"/>
    <w:next w:val="1"/>
    <w:link w:val="46"/>
    <w:unhideWhenUsed/>
    <w:qFormat/>
    <w:uiPriority w:val="9"/>
    <w:pPr>
      <w:keepNext/>
      <w:keepLines/>
      <w:spacing w:line="360" w:lineRule="auto"/>
      <w:ind w:firstLine="0" w:firstLineChars="0"/>
      <w:jc w:val="left"/>
      <w:outlineLvl w:val="1"/>
    </w:pPr>
    <w:rPr>
      <w:rFonts w:eastAsiaTheme="majorEastAsia" w:cstheme="majorBidi"/>
      <w:b/>
      <w:bCs/>
      <w:sz w:val="28"/>
      <w:szCs w:val="32"/>
    </w:rPr>
  </w:style>
  <w:style w:type="paragraph" w:styleId="4">
    <w:name w:val="heading 3"/>
    <w:basedOn w:val="1"/>
    <w:next w:val="1"/>
    <w:link w:val="51"/>
    <w:unhideWhenUsed/>
    <w:qFormat/>
    <w:uiPriority w:val="9"/>
    <w:pPr>
      <w:keepNext/>
      <w:keepLines/>
      <w:spacing w:line="360" w:lineRule="auto"/>
      <w:ind w:firstLine="880" w:firstLineChars="200"/>
      <w:outlineLvl w:val="2"/>
    </w:pPr>
    <w:rPr>
      <w:rFonts w:asciiTheme="minorAscii" w:hAnsiTheme="minorAscii" w:eastAsiaTheme="majorEastAsia"/>
      <w:b/>
      <w:bCs/>
      <w:sz w:val="24"/>
      <w:szCs w:val="32"/>
    </w:rPr>
  </w:style>
  <w:style w:type="paragraph" w:styleId="5">
    <w:name w:val="heading 4"/>
    <w:basedOn w:val="1"/>
    <w:next w:val="1"/>
    <w:link w:val="45"/>
    <w:semiHidden/>
    <w:unhideWhenUsed/>
    <w:qFormat/>
    <w:uiPriority w:val="9"/>
    <w:pPr>
      <w:keepNext/>
      <w:keepLines/>
      <w:ind w:firstLine="0" w:firstLineChars="0"/>
      <w:outlineLvl w:val="3"/>
    </w:pPr>
    <w:rPr>
      <w:rFonts w:eastAsiaTheme="majorEastAsia" w:cstheme="majorBidi"/>
      <w:bCs/>
      <w:szCs w:val="28"/>
    </w:rPr>
  </w:style>
  <w:style w:type="character" w:default="1" w:styleId="21">
    <w:name w:val="Default Paragraph Font"/>
    <w:semiHidden/>
    <w:unhideWhenUsed/>
    <w:qFormat/>
    <w:uiPriority w:val="1"/>
  </w:style>
  <w:style w:type="table" w:default="1" w:styleId="1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Normal Indent"/>
    <w:basedOn w:val="1"/>
    <w:next w:val="7"/>
    <w:link w:val="30"/>
    <w:qFormat/>
    <w:uiPriority w:val="0"/>
    <w:pPr>
      <w:widowControl/>
      <w:ind w:firstLine="420"/>
      <w:jc w:val="left"/>
    </w:pPr>
    <w:rPr>
      <w:rFonts w:eastAsia="华文中宋"/>
      <w:w w:val="90"/>
      <w:sz w:val="28"/>
    </w:rPr>
  </w:style>
  <w:style w:type="paragraph" w:styleId="7">
    <w:name w:val="Body Text First Indent 2"/>
    <w:basedOn w:val="5"/>
    <w:next w:val="1"/>
    <w:unhideWhenUsed/>
    <w:qFormat/>
    <w:uiPriority w:val="99"/>
    <w:pPr>
      <w:ind w:firstLine="420"/>
    </w:pPr>
  </w:style>
  <w:style w:type="paragraph" w:styleId="8">
    <w:name w:val="annotation text"/>
    <w:basedOn w:val="1"/>
    <w:link w:val="41"/>
    <w:semiHidden/>
    <w:unhideWhenUsed/>
    <w:qFormat/>
    <w:uiPriority w:val="99"/>
    <w:pPr>
      <w:jc w:val="left"/>
    </w:pPr>
  </w:style>
  <w:style w:type="paragraph" w:styleId="9">
    <w:name w:val="Body Text"/>
    <w:basedOn w:val="1"/>
    <w:unhideWhenUsed/>
    <w:qFormat/>
    <w:uiPriority w:val="1"/>
    <w:pPr>
      <w:spacing w:beforeLines="0" w:afterLines="0"/>
      <w:ind w:left="537"/>
    </w:pPr>
    <w:rPr>
      <w:rFonts w:hint="eastAsia" w:ascii="宋体" w:hAnsi="宋体" w:eastAsia="宋体"/>
      <w:b/>
      <w:sz w:val="21"/>
    </w:rPr>
  </w:style>
  <w:style w:type="paragraph" w:styleId="10">
    <w:name w:val="Plain Text"/>
    <w:basedOn w:val="1"/>
    <w:next w:val="1"/>
    <w:link w:val="44"/>
    <w:semiHidden/>
    <w:unhideWhenUsed/>
    <w:qFormat/>
    <w:uiPriority w:val="99"/>
    <w:pPr>
      <w:keepNext w:val="0"/>
      <w:keepLines w:val="0"/>
      <w:widowControl w:val="0"/>
      <w:suppressLineNumbers w:val="0"/>
      <w:spacing w:before="0" w:beforeAutospacing="0" w:after="0" w:afterAutospacing="0"/>
      <w:ind w:left="0" w:right="0"/>
      <w:jc w:val="both"/>
    </w:pPr>
    <w:rPr>
      <w:rFonts w:hint="eastAsia" w:ascii="宋体" w:hAnsi="Courier New" w:eastAsia="宋体" w:cs="Courier New"/>
      <w:kern w:val="2"/>
      <w:sz w:val="21"/>
      <w:szCs w:val="21"/>
      <w:lang w:val="en-US" w:eastAsia="zh-CN" w:bidi="ar"/>
    </w:rPr>
  </w:style>
  <w:style w:type="paragraph" w:styleId="11">
    <w:name w:val="Body Text Indent 2"/>
    <w:basedOn w:val="1"/>
    <w:link w:val="38"/>
    <w:semiHidden/>
    <w:unhideWhenUsed/>
    <w:qFormat/>
    <w:uiPriority w:val="99"/>
    <w:pPr>
      <w:spacing w:after="120" w:line="480" w:lineRule="auto"/>
      <w:ind w:left="420" w:leftChars="200"/>
    </w:pPr>
  </w:style>
  <w:style w:type="paragraph" w:styleId="12">
    <w:name w:val="Balloon Text"/>
    <w:basedOn w:val="1"/>
    <w:link w:val="36"/>
    <w:semiHidden/>
    <w:unhideWhenUsed/>
    <w:qFormat/>
    <w:uiPriority w:val="99"/>
    <w:rPr>
      <w:sz w:val="18"/>
      <w:szCs w:val="18"/>
    </w:rPr>
  </w:style>
  <w:style w:type="paragraph" w:styleId="13">
    <w:name w:val="footer"/>
    <w:basedOn w:val="1"/>
    <w:link w:val="28"/>
    <w:unhideWhenUsed/>
    <w:qFormat/>
    <w:uiPriority w:val="99"/>
    <w:pPr>
      <w:tabs>
        <w:tab w:val="center" w:pos="4153"/>
        <w:tab w:val="right" w:pos="8306"/>
      </w:tabs>
      <w:snapToGrid w:val="0"/>
      <w:jc w:val="left"/>
    </w:pPr>
    <w:rPr>
      <w:sz w:val="18"/>
      <w:szCs w:val="18"/>
    </w:rPr>
  </w:style>
  <w:style w:type="paragraph" w:styleId="14">
    <w:name w:val="header"/>
    <w:basedOn w:val="1"/>
    <w:link w:val="27"/>
    <w:unhideWhenUsed/>
    <w:qFormat/>
    <w:uiPriority w:val="99"/>
    <w:pPr>
      <w:pBdr>
        <w:bottom w:val="single" w:color="auto" w:sz="6" w:space="1"/>
      </w:pBdr>
      <w:tabs>
        <w:tab w:val="center" w:pos="4153"/>
        <w:tab w:val="right" w:pos="8306"/>
      </w:tabs>
      <w:snapToGrid w:val="0"/>
      <w:jc w:val="center"/>
    </w:pPr>
    <w:rPr>
      <w:sz w:val="18"/>
      <w:szCs w:val="18"/>
    </w:rPr>
  </w:style>
  <w:style w:type="paragraph" w:styleId="15">
    <w:name w:val="Body Text Indent 3"/>
    <w:basedOn w:val="1"/>
    <w:link w:val="50"/>
    <w:semiHidden/>
    <w:unhideWhenUsed/>
    <w:qFormat/>
    <w:uiPriority w:val="99"/>
    <w:pPr>
      <w:keepNext w:val="0"/>
      <w:keepLines w:val="0"/>
      <w:widowControl w:val="0"/>
      <w:suppressLineNumbers w:val="0"/>
      <w:spacing w:before="0" w:beforeAutospacing="0" w:after="0" w:afterAutospacing="0" w:line="312" w:lineRule="auto"/>
      <w:ind w:left="0" w:right="0" w:firstLine="480" w:firstLineChars="200"/>
      <w:jc w:val="both"/>
    </w:pPr>
    <w:rPr>
      <w:rFonts w:hint="default" w:ascii="Times New Roman" w:hAnsi="Times New Roman" w:eastAsia="宋体" w:cs="Times New Roman"/>
      <w:color w:val="000000"/>
      <w:kern w:val="2"/>
      <w:sz w:val="24"/>
      <w:szCs w:val="20"/>
      <w:lang w:val="en-US" w:eastAsia="zh-CN" w:bidi="ar"/>
    </w:rPr>
  </w:style>
  <w:style w:type="paragraph" w:styleId="16">
    <w:name w:val="Body Text 2"/>
    <w:basedOn w:val="1"/>
    <w:link w:val="32"/>
    <w:semiHidden/>
    <w:unhideWhenUsed/>
    <w:qFormat/>
    <w:uiPriority w:val="99"/>
    <w:pPr>
      <w:spacing w:after="120" w:line="480" w:lineRule="auto"/>
    </w:pPr>
  </w:style>
  <w:style w:type="paragraph" w:styleId="17">
    <w:name w:val="Normal (Web)"/>
    <w:basedOn w:val="1"/>
    <w:semiHidden/>
    <w:unhideWhenUsed/>
    <w:qFormat/>
    <w:uiPriority w:val="99"/>
    <w:pPr>
      <w:adjustRightInd/>
      <w:snapToGrid/>
      <w:spacing w:before="0" w:beforeAutospacing="1" w:after="0" w:afterAutospacing="1" w:line="240" w:lineRule="auto"/>
      <w:ind w:left="0" w:right="0" w:firstLine="0" w:firstLineChars="0"/>
      <w:jc w:val="left"/>
    </w:pPr>
    <w:rPr>
      <w:rFonts w:ascii="宋体" w:hAnsi="宋体" w:eastAsia="宋体" w:cs="宋体"/>
      <w:snapToGrid/>
      <w:kern w:val="0"/>
      <w:sz w:val="24"/>
      <w:lang w:val="en-US" w:eastAsia="zh-CN" w:bidi="ar"/>
    </w:rPr>
  </w:style>
  <w:style w:type="paragraph" w:styleId="18">
    <w:name w:val="annotation subject"/>
    <w:basedOn w:val="8"/>
    <w:next w:val="10"/>
    <w:link w:val="42"/>
    <w:semiHidden/>
    <w:unhideWhenUsed/>
    <w:qFormat/>
    <w:uiPriority w:val="99"/>
    <w:rPr>
      <w:b/>
      <w:bCs/>
    </w:rPr>
  </w:style>
  <w:style w:type="table" w:styleId="20">
    <w:name w:val="Table Grid"/>
    <w:basedOn w:val="19"/>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2">
    <w:name w:val="Hyperlink"/>
    <w:basedOn w:val="21"/>
    <w:semiHidden/>
    <w:unhideWhenUsed/>
    <w:qFormat/>
    <w:uiPriority w:val="99"/>
    <w:rPr>
      <w:color w:val="0000FF"/>
      <w:u w:val="single"/>
    </w:rPr>
  </w:style>
  <w:style w:type="character" w:styleId="23">
    <w:name w:val="annotation reference"/>
    <w:basedOn w:val="21"/>
    <w:semiHidden/>
    <w:unhideWhenUsed/>
    <w:qFormat/>
    <w:uiPriority w:val="99"/>
    <w:rPr>
      <w:sz w:val="21"/>
      <w:szCs w:val="21"/>
    </w:rPr>
  </w:style>
  <w:style w:type="paragraph" w:customStyle="1" w:styleId="24">
    <w:name w:val="表格"/>
    <w:basedOn w:val="10"/>
    <w:next w:val="1"/>
    <w:link w:val="26"/>
    <w:qFormat/>
    <w:uiPriority w:val="0"/>
    <w:pPr>
      <w:adjustRightInd w:val="0"/>
      <w:snapToGrid w:val="0"/>
      <w:spacing w:line="240" w:lineRule="auto"/>
      <w:ind w:firstLine="0" w:firstLineChars="0"/>
      <w:jc w:val="center"/>
    </w:pPr>
    <w:rPr>
      <w:rFonts w:ascii="Times New Roman" w:hAnsi="Times New Roman" w:eastAsia="宋体" w:cs="Times New Roman"/>
      <w:sz w:val="21"/>
      <w:szCs w:val="20"/>
    </w:rPr>
  </w:style>
  <w:style w:type="paragraph" w:customStyle="1" w:styleId="25">
    <w:name w:val="表格标题"/>
    <w:basedOn w:val="1"/>
    <w:next w:val="10"/>
    <w:link w:val="58"/>
    <w:qFormat/>
    <w:uiPriority w:val="0"/>
    <w:pPr>
      <w:ind w:firstLine="0" w:firstLineChars="0"/>
      <w:jc w:val="center"/>
    </w:pPr>
    <w:rPr>
      <w:b/>
    </w:rPr>
  </w:style>
  <w:style w:type="character" w:customStyle="1" w:styleId="26">
    <w:name w:val="表格 Char"/>
    <w:link w:val="24"/>
    <w:qFormat/>
    <w:uiPriority w:val="0"/>
    <w:rPr>
      <w:rFonts w:ascii="Times New Roman" w:hAnsi="Times New Roman" w:eastAsia="宋体" w:cs="Times New Roman"/>
      <w:sz w:val="21"/>
      <w:szCs w:val="20"/>
    </w:rPr>
  </w:style>
  <w:style w:type="character" w:customStyle="1" w:styleId="27">
    <w:name w:val="页眉 Char"/>
    <w:basedOn w:val="21"/>
    <w:link w:val="14"/>
    <w:qFormat/>
    <w:uiPriority w:val="99"/>
    <w:rPr>
      <w:sz w:val="18"/>
      <w:szCs w:val="18"/>
    </w:rPr>
  </w:style>
  <w:style w:type="character" w:customStyle="1" w:styleId="28">
    <w:name w:val="页脚 Char"/>
    <w:basedOn w:val="21"/>
    <w:link w:val="13"/>
    <w:qFormat/>
    <w:uiPriority w:val="99"/>
    <w:rPr>
      <w:sz w:val="18"/>
      <w:szCs w:val="18"/>
    </w:rPr>
  </w:style>
  <w:style w:type="paragraph" w:customStyle="1" w:styleId="29">
    <w:name w:val="Char1 Char Char Char"/>
    <w:basedOn w:val="1"/>
    <w:qFormat/>
    <w:uiPriority w:val="0"/>
    <w:rPr>
      <w:rFonts w:ascii="Times New Roman" w:hAnsi="Times New Roman" w:eastAsia="宋体" w:cs="Times New Roman"/>
      <w:szCs w:val="24"/>
    </w:rPr>
  </w:style>
  <w:style w:type="character" w:customStyle="1" w:styleId="30">
    <w:name w:val="正文缩进 Char"/>
    <w:link w:val="6"/>
    <w:qFormat/>
    <w:uiPriority w:val="0"/>
    <w:rPr>
      <w:rFonts w:eastAsia="华文中宋"/>
      <w:w w:val="90"/>
      <w:sz w:val="28"/>
    </w:rPr>
  </w:style>
  <w:style w:type="paragraph" w:customStyle="1" w:styleId="31">
    <w:name w:val="表格 32"/>
    <w:basedOn w:val="1"/>
    <w:qFormat/>
    <w:uiPriority w:val="0"/>
    <w:pPr>
      <w:keepNext/>
      <w:keepLines/>
      <w:snapToGrid w:val="0"/>
      <w:jc w:val="center"/>
    </w:pPr>
    <w:rPr>
      <w:rFonts w:ascii="Times New Roman" w:hAnsi="Times New Roman" w:eastAsia="宋体" w:cs="Times New Roman"/>
      <w:szCs w:val="21"/>
    </w:rPr>
  </w:style>
  <w:style w:type="character" w:customStyle="1" w:styleId="32">
    <w:name w:val="正文文本 2 Char"/>
    <w:basedOn w:val="21"/>
    <w:link w:val="16"/>
    <w:semiHidden/>
    <w:qFormat/>
    <w:uiPriority w:val="99"/>
  </w:style>
  <w:style w:type="character" w:customStyle="1" w:styleId="33">
    <w:name w:val="表格文字2 Char Char"/>
    <w:link w:val="34"/>
    <w:qFormat/>
    <w:uiPriority w:val="0"/>
    <w:rPr>
      <w:spacing w:val="5"/>
      <w:szCs w:val="21"/>
    </w:rPr>
  </w:style>
  <w:style w:type="paragraph" w:customStyle="1" w:styleId="34">
    <w:name w:val="表格文字2"/>
    <w:basedOn w:val="1"/>
    <w:link w:val="33"/>
    <w:qFormat/>
    <w:uiPriority w:val="0"/>
    <w:pPr>
      <w:tabs>
        <w:tab w:val="left" w:pos="277"/>
        <w:tab w:val="left" w:pos="600"/>
        <w:tab w:val="left" w:pos="780"/>
        <w:tab w:val="left" w:pos="2517"/>
      </w:tabs>
      <w:adjustRightInd w:val="0"/>
      <w:spacing w:before="60"/>
      <w:jc w:val="center"/>
      <w:textAlignment w:val="baseline"/>
    </w:pPr>
    <w:rPr>
      <w:spacing w:val="5"/>
      <w:szCs w:val="21"/>
    </w:rPr>
  </w:style>
  <w:style w:type="paragraph" w:customStyle="1" w:styleId="35">
    <w:name w:val="图文框"/>
    <w:basedOn w:val="1"/>
    <w:qFormat/>
    <w:uiPriority w:val="0"/>
    <w:pPr>
      <w:widowControl/>
      <w:ind w:left="56" w:leftChars="-45" w:right="-67" w:rightChars="-28" w:hanging="164" w:hangingChars="78"/>
      <w:jc w:val="center"/>
    </w:pPr>
    <w:rPr>
      <w:rFonts w:ascii="宋体" w:hAnsi="宋体" w:eastAsia="宋体" w:cs="Times New Roman"/>
      <w:kern w:val="0"/>
      <w:szCs w:val="20"/>
    </w:rPr>
  </w:style>
  <w:style w:type="character" w:customStyle="1" w:styleId="36">
    <w:name w:val="批注框文本 Char"/>
    <w:basedOn w:val="21"/>
    <w:link w:val="12"/>
    <w:semiHidden/>
    <w:qFormat/>
    <w:uiPriority w:val="99"/>
    <w:rPr>
      <w:sz w:val="18"/>
      <w:szCs w:val="18"/>
    </w:rPr>
  </w:style>
  <w:style w:type="paragraph" w:customStyle="1" w:styleId="37">
    <w:name w:val="大表格"/>
    <w:next w:val="1"/>
    <w:qFormat/>
    <w:uiPriority w:val="0"/>
    <w:pPr>
      <w:jc w:val="center"/>
    </w:pPr>
    <w:rPr>
      <w:rFonts w:ascii="Times New Roman" w:hAnsi="Times New Roman" w:eastAsia="宋体" w:cs="宋体"/>
      <w:kern w:val="0"/>
      <w:sz w:val="24"/>
      <w:szCs w:val="24"/>
      <w:lang w:val="en-US" w:eastAsia="zh-CN" w:bidi="ar-SA"/>
    </w:rPr>
  </w:style>
  <w:style w:type="character" w:customStyle="1" w:styleId="38">
    <w:name w:val="正文文本缩进 2 Char"/>
    <w:basedOn w:val="21"/>
    <w:link w:val="11"/>
    <w:semiHidden/>
    <w:qFormat/>
    <w:uiPriority w:val="99"/>
  </w:style>
  <w:style w:type="paragraph" w:styleId="39">
    <w:name w:val="List Paragraph"/>
    <w:basedOn w:val="1"/>
    <w:qFormat/>
    <w:uiPriority w:val="34"/>
    <w:pPr>
      <w:ind w:firstLine="420" w:firstLineChars="200"/>
    </w:pPr>
  </w:style>
  <w:style w:type="paragraph" w:customStyle="1" w:styleId="40">
    <w:name w:val="Default"/>
    <w:qFormat/>
    <w:uiPriority w:val="0"/>
    <w:pPr>
      <w:widowControl w:val="0"/>
      <w:autoSpaceDE w:val="0"/>
      <w:autoSpaceDN w:val="0"/>
      <w:adjustRightInd w:val="0"/>
    </w:pPr>
    <w:rPr>
      <w:rFonts w:ascii="宋体" w:eastAsia="宋体" w:cs="宋体" w:hAnsiTheme="minorHAnsi"/>
      <w:color w:val="000000"/>
      <w:kern w:val="0"/>
      <w:sz w:val="24"/>
      <w:szCs w:val="24"/>
      <w:lang w:val="en-US" w:eastAsia="zh-CN" w:bidi="ar-SA"/>
    </w:rPr>
  </w:style>
  <w:style w:type="character" w:customStyle="1" w:styleId="41">
    <w:name w:val="批注文字 Char"/>
    <w:basedOn w:val="21"/>
    <w:link w:val="8"/>
    <w:semiHidden/>
    <w:qFormat/>
    <w:uiPriority w:val="99"/>
  </w:style>
  <w:style w:type="character" w:customStyle="1" w:styleId="42">
    <w:name w:val="批注主题 Char"/>
    <w:basedOn w:val="41"/>
    <w:link w:val="18"/>
    <w:semiHidden/>
    <w:qFormat/>
    <w:uiPriority w:val="99"/>
    <w:rPr>
      <w:b/>
      <w:bCs/>
    </w:rPr>
  </w:style>
  <w:style w:type="table" w:customStyle="1" w:styleId="43">
    <w:name w:val="网格型2"/>
    <w:basedOn w:val="19"/>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44">
    <w:name w:val="纯文本 Char"/>
    <w:basedOn w:val="21"/>
    <w:link w:val="10"/>
    <w:qFormat/>
    <w:uiPriority w:val="0"/>
    <w:rPr>
      <w:rFonts w:hint="eastAsia" w:ascii="宋体" w:hAnsi="Courier New" w:eastAsia="宋体" w:cs="Courier New"/>
      <w:kern w:val="2"/>
      <w:sz w:val="21"/>
      <w:szCs w:val="21"/>
    </w:rPr>
  </w:style>
  <w:style w:type="character" w:customStyle="1" w:styleId="45">
    <w:name w:val="标题 4 Char"/>
    <w:basedOn w:val="21"/>
    <w:link w:val="5"/>
    <w:qFormat/>
    <w:uiPriority w:val="0"/>
    <w:rPr>
      <w:rFonts w:ascii="Cambria" w:hAnsi="Cambria" w:eastAsia="宋体" w:cs="Times New Roman"/>
      <w:b/>
      <w:sz w:val="28"/>
      <w:szCs w:val="28"/>
    </w:rPr>
  </w:style>
  <w:style w:type="character" w:customStyle="1" w:styleId="46">
    <w:name w:val="标题 2 Char"/>
    <w:link w:val="3"/>
    <w:qFormat/>
    <w:uiPriority w:val="9"/>
    <w:rPr>
      <w:rFonts w:asciiTheme="minorAscii" w:hAnsiTheme="minorAscii" w:eastAsiaTheme="majorEastAsia" w:cstheme="majorBidi"/>
      <w:b/>
      <w:bCs/>
      <w:sz w:val="28"/>
      <w:szCs w:val="32"/>
    </w:rPr>
  </w:style>
  <w:style w:type="character" w:customStyle="1" w:styleId="47">
    <w:name w:val="标题 1 Char"/>
    <w:link w:val="2"/>
    <w:qFormat/>
    <w:uiPriority w:val="9"/>
    <w:rPr>
      <w:rFonts w:asciiTheme="minorAscii" w:hAnsiTheme="minorAscii" w:eastAsiaTheme="majorEastAsia"/>
      <w:b/>
      <w:bCs/>
      <w:kern w:val="44"/>
      <w:sz w:val="36"/>
      <w:szCs w:val="44"/>
    </w:rPr>
  </w:style>
  <w:style w:type="paragraph" w:customStyle="1" w:styleId="48">
    <w:name w:val="msonospacing"/>
    <w:basedOn w:val="1"/>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eastAsia="宋体" w:cs="Times New Roman"/>
      <w:kern w:val="2"/>
      <w:sz w:val="21"/>
      <w:szCs w:val="20"/>
      <w:lang w:val="en-US" w:eastAsia="zh-CN" w:bidi="ar"/>
    </w:rPr>
  </w:style>
  <w:style w:type="character" w:customStyle="1" w:styleId="49">
    <w:name w:val="正文文本缩进 3 Char1"/>
    <w:basedOn w:val="21"/>
    <w:qFormat/>
    <w:uiPriority w:val="0"/>
    <w:rPr>
      <w:rFonts w:ascii="Calibri" w:hAnsi="Calibri" w:eastAsia="宋体"/>
      <w:kern w:val="2"/>
      <w:sz w:val="24"/>
      <w:szCs w:val="16"/>
    </w:rPr>
  </w:style>
  <w:style w:type="character" w:customStyle="1" w:styleId="50">
    <w:name w:val="正文文本缩进 3 Char"/>
    <w:basedOn w:val="21"/>
    <w:link w:val="15"/>
    <w:qFormat/>
    <w:uiPriority w:val="0"/>
    <w:rPr>
      <w:color w:val="000000"/>
      <w:kern w:val="2"/>
      <w:sz w:val="24"/>
    </w:rPr>
  </w:style>
  <w:style w:type="character" w:customStyle="1" w:styleId="51">
    <w:name w:val="标题 3 Char"/>
    <w:basedOn w:val="21"/>
    <w:link w:val="4"/>
    <w:qFormat/>
    <w:uiPriority w:val="0"/>
    <w:rPr>
      <w:rFonts w:hint="default" w:ascii="Times New Roman" w:hAnsi="Times New Roman" w:cs="Times New Roman"/>
      <w:b/>
      <w:sz w:val="24"/>
      <w:szCs w:val="24"/>
    </w:rPr>
  </w:style>
  <w:style w:type="character" w:customStyle="1" w:styleId="52">
    <w:name w:val="正文01 Char"/>
    <w:basedOn w:val="21"/>
    <w:link w:val="53"/>
    <w:qFormat/>
    <w:uiPriority w:val="0"/>
    <w:rPr>
      <w:rFonts w:ascii="Arial" w:hAnsi="Arial" w:eastAsia="宋体" w:cs="Arial"/>
      <w:kern w:val="2"/>
      <w:sz w:val="24"/>
    </w:rPr>
  </w:style>
  <w:style w:type="paragraph" w:customStyle="1" w:styleId="53">
    <w:name w:val="正文01"/>
    <w:basedOn w:val="1"/>
    <w:link w:val="52"/>
    <w:qFormat/>
    <w:uiPriority w:val="0"/>
    <w:pPr>
      <w:keepNext w:val="0"/>
      <w:keepLines w:val="0"/>
      <w:widowControl w:val="0"/>
      <w:suppressLineNumbers w:val="0"/>
      <w:spacing w:beforeAutospacing="0" w:after="0" w:afterAutospacing="0" w:line="360" w:lineRule="auto"/>
      <w:ind w:left="0" w:right="0" w:firstLine="200" w:firstLineChars="200"/>
      <w:jc w:val="both"/>
    </w:pPr>
    <w:rPr>
      <w:rFonts w:ascii="Arial" w:hAnsi="Arial" w:eastAsia="宋体" w:cs="Times New Roman"/>
      <w:sz w:val="24"/>
      <w:szCs w:val="20"/>
      <w:lang w:bidi="ar"/>
    </w:rPr>
  </w:style>
  <w:style w:type="paragraph" w:customStyle="1" w:styleId="54">
    <w:name w:val="Table Paragraph"/>
    <w:basedOn w:val="1"/>
    <w:unhideWhenUsed/>
    <w:qFormat/>
    <w:uiPriority w:val="1"/>
    <w:pPr>
      <w:spacing w:beforeLines="0" w:afterLines="0"/>
    </w:pPr>
    <w:rPr>
      <w:rFonts w:hint="default"/>
      <w:sz w:val="24"/>
    </w:rPr>
  </w:style>
  <w:style w:type="character" w:customStyle="1" w:styleId="55">
    <w:name w:val="page number"/>
    <w:basedOn w:val="21"/>
    <w:qFormat/>
    <w:uiPriority w:val="0"/>
  </w:style>
  <w:style w:type="paragraph" w:customStyle="1" w:styleId="56">
    <w:name w:val="图表标题"/>
    <w:basedOn w:val="1"/>
    <w:qFormat/>
    <w:uiPriority w:val="0"/>
    <w:pPr>
      <w:ind w:firstLine="0" w:firstLineChars="0"/>
      <w:jc w:val="center"/>
    </w:pPr>
    <w:rPr>
      <w:rFonts w:eastAsia="Times New Roman"/>
      <w:b/>
    </w:rPr>
  </w:style>
  <w:style w:type="paragraph" w:customStyle="1" w:styleId="57">
    <w:name w:val="表格正文"/>
    <w:basedOn w:val="6"/>
    <w:qFormat/>
    <w:uiPriority w:val="0"/>
    <w:pPr>
      <w:autoSpaceDE w:val="0"/>
      <w:autoSpaceDN w:val="0"/>
      <w:spacing w:line="240" w:lineRule="auto"/>
      <w:ind w:firstLine="0" w:firstLineChars="0"/>
      <w:jc w:val="center"/>
      <w:textAlignment w:val="bottom"/>
    </w:pPr>
    <w:rPr>
      <w:rFonts w:ascii="Times New Roman" w:hAnsi="Times New Roman"/>
      <w:kern w:val="0"/>
      <w:sz w:val="21"/>
    </w:rPr>
  </w:style>
  <w:style w:type="character" w:customStyle="1" w:styleId="58">
    <w:name w:val="表格标题 Char"/>
    <w:link w:val="25"/>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oleObject1.bin"/><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3.pn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pn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png"/><Relationship Id="rId14" Type="http://schemas.openxmlformats.org/officeDocument/2006/relationships/image" Target="media/image4.jpeg"/><Relationship Id="rId13" Type="http://schemas.openxmlformats.org/officeDocument/2006/relationships/image" Target="media/image3.emf"/><Relationship Id="rId12" Type="http://schemas.openxmlformats.org/officeDocument/2006/relationships/oleObject" Target="embeddings/oleObject3.bin"/><Relationship Id="rId11" Type="http://schemas.openxmlformats.org/officeDocument/2006/relationships/image" Target="media/image2.emf"/><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46640B3-265A-41FA-B2BE-D231BEC7156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41</Pages>
  <Words>217</Words>
  <Characters>217</Characters>
  <Lines>115</Lines>
  <Paragraphs>32</Paragraphs>
  <TotalTime>9</TotalTime>
  <ScaleCrop>false</ScaleCrop>
  <LinksUpToDate>false</LinksUpToDate>
  <CharactersWithSpaces>313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2019-05-23T14:54:00Z</dcterms:created>
  <dc:creator>USER</dc:creator>
  <cp:lastModifiedBy>杨</cp:lastModifiedBy>
  <dcterms:modified xsi:type="dcterms:W3CDTF">2026-03-13T02:17:06Z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B25590B58B3A47DBB8258E89BD09FAE7</vt:lpwstr>
  </property>
  <property fmtid="{D5CDD505-2E9C-101B-9397-08002B2CF9AE}" pid="4" name="KSOTemplateDocerSaveRecord">
    <vt:lpwstr>eyJoZGlkIjoiY2NiNDg1Mzc3YTlkZjYxYzM1YmIyZDQ2MmVhYmM1ZmEiLCJ1c2VySWQiOiI2NzU5OTE1In0=</vt:lpwstr>
  </property>
</Properties>
</file>